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97F1A" w14:textId="76EC323D" w:rsidR="006C3174" w:rsidRPr="00614DD8" w:rsidRDefault="006C3174" w:rsidP="006C317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131334">
        <w:rPr>
          <w:rFonts w:ascii="Arial" w:eastAsia="SimSun" w:hAnsi="Arial" w:cs="Times New Roman"/>
          <w:b/>
          <w:bCs/>
          <w:sz w:val="24"/>
          <w:szCs w:val="20"/>
          <w:lang w:val="en-US" w:eastAsia="zh-CN"/>
        </w:rPr>
        <w:t>509923</w:t>
      </w:r>
    </w:p>
    <w:bookmarkEnd w:id="0"/>
    <w:bookmarkEnd w:id="1"/>
    <w:p w14:paraId="361DF5B1" w14:textId="77777777" w:rsidR="006C3174" w:rsidRDefault="006C3174" w:rsidP="006C317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36675AD9" w14:textId="77777777" w:rsidR="006C3174" w:rsidRPr="00614DD8" w:rsidRDefault="006C3174" w:rsidP="006C317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614FE9D" w14:textId="77777777" w:rsidR="006C3174" w:rsidRPr="00614DD8" w:rsidRDefault="006C3174" w:rsidP="006C317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3478213A" w14:textId="3B939C79" w:rsidR="00131334" w:rsidRPr="008D0AE1" w:rsidRDefault="00131334" w:rsidP="00131334">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Pr>
          <w:rFonts w:ascii="Arial" w:eastAsia="MS Mincho" w:hAnsi="Arial" w:cs="Arial"/>
          <w:b/>
          <w:bCs/>
          <w:sz w:val="24"/>
          <w:szCs w:val="20"/>
        </w:rPr>
        <w:t>7.19.3.2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1D82B1C0" w14:textId="2A1C009E" w:rsidR="008D31EA" w:rsidRPr="008D31EA" w:rsidRDefault="008D31EA" w:rsidP="001547E2">
      <w:pPr>
        <w:jc w:val="both"/>
        <w:rPr>
          <w:rFonts w:asciiTheme="majorBidi" w:hAnsiTheme="majorBidi" w:cstheme="majorBidi"/>
          <w:szCs w:val="20"/>
        </w:rPr>
      </w:pPr>
      <w:bookmarkStart w:id="4" w:name="_Hlk177897930"/>
      <w:r w:rsidRPr="008D31EA">
        <w:rPr>
          <w:rFonts w:asciiTheme="majorBidi" w:hAnsiTheme="majorBidi" w:cstheme="majorBidi"/>
          <w:szCs w:val="20"/>
        </w:rPr>
        <w:t>The discussions on AI/ML Mobility continued in RAN4#11</w:t>
      </w:r>
      <w:r w:rsidR="001B6F6A">
        <w:rPr>
          <w:rFonts w:asciiTheme="majorBidi" w:hAnsiTheme="majorBidi" w:cstheme="majorBidi"/>
          <w:szCs w:val="20"/>
        </w:rPr>
        <w:t>5</w:t>
      </w:r>
      <w:r w:rsidRPr="008D31EA">
        <w:rPr>
          <w:rFonts w:asciiTheme="majorBidi" w:hAnsiTheme="majorBidi" w:cstheme="majorBidi"/>
          <w:szCs w:val="20"/>
        </w:rPr>
        <w:t xml:space="preserve"> within the scope of Rel-19 SI </w:t>
      </w:r>
      <w:r w:rsidRPr="008D31EA">
        <w:rPr>
          <w:rFonts w:asciiTheme="majorBidi" w:hAnsiTheme="majorBidi" w:cstheme="majorBidi"/>
          <w:szCs w:val="20"/>
          <w:cs/>
        </w:rPr>
        <w:t>‎</w:t>
      </w:r>
      <w:r w:rsidRPr="008D31EA">
        <w:rPr>
          <w:rFonts w:asciiTheme="majorBidi" w:hAnsiTheme="majorBidi" w:cstheme="majorBidi"/>
          <w:szCs w:val="20"/>
        </w:rPr>
        <w:t>[1]</w:t>
      </w:r>
      <w:r w:rsidRPr="008D31EA">
        <w:rPr>
          <w:rFonts w:asciiTheme="majorBidi" w:hAnsiTheme="majorBidi" w:cstheme="majorBidi"/>
          <w:szCs w:val="20"/>
          <w:cs/>
        </w:rPr>
        <w:t>‎</w:t>
      </w:r>
      <w:r w:rsidRPr="008D31EA">
        <w:rPr>
          <w:rFonts w:asciiTheme="majorBidi" w:hAnsiTheme="majorBidi" w:cstheme="majorBidi"/>
          <w:szCs w:val="20"/>
        </w:rPr>
        <w:t xml:space="preserve"> and </w:t>
      </w:r>
      <w:r w:rsidRPr="008D31EA">
        <w:rPr>
          <w:rFonts w:asciiTheme="majorBidi" w:hAnsiTheme="majorBidi" w:cstheme="majorBidi"/>
          <w:szCs w:val="20"/>
          <w:cs/>
        </w:rPr>
        <w:t>‎</w:t>
      </w:r>
      <w:r w:rsidRPr="008D31EA">
        <w:rPr>
          <w:rFonts w:asciiTheme="majorBidi" w:hAnsiTheme="majorBidi" w:cstheme="majorBidi"/>
          <w:szCs w:val="20"/>
        </w:rPr>
        <w:t xml:space="preserve">[2], with a dedicated agenda item assigned to measurement Event prediction in AI/ML Mobility. </w:t>
      </w:r>
    </w:p>
    <w:p w14:paraId="7498A8FD" w14:textId="6F42AEDA" w:rsidR="000B3122" w:rsidRPr="00831E08" w:rsidRDefault="001B6F6A" w:rsidP="00E854E1">
      <w:pPr>
        <w:jc w:val="both"/>
        <w:rPr>
          <w:rFonts w:asciiTheme="majorBidi" w:hAnsiTheme="majorBidi" w:cstheme="majorBidi"/>
          <w:szCs w:val="20"/>
        </w:rPr>
      </w:pPr>
      <w:r>
        <w:rPr>
          <w:rFonts w:asciiTheme="majorBidi" w:hAnsiTheme="majorBidi" w:cstheme="majorBidi"/>
          <w:szCs w:val="20"/>
        </w:rPr>
        <w:t>Though there has been a limited progress</w:t>
      </w:r>
      <w:r w:rsidR="00931879">
        <w:rPr>
          <w:rFonts w:asciiTheme="majorBidi" w:hAnsiTheme="majorBidi" w:cstheme="majorBidi"/>
          <w:szCs w:val="20"/>
        </w:rPr>
        <w:t xml:space="preserve"> in discussing measurement event prediction</w:t>
      </w:r>
      <w:r w:rsidR="009D1932">
        <w:rPr>
          <w:rFonts w:asciiTheme="majorBidi" w:hAnsiTheme="majorBidi" w:cstheme="majorBidi"/>
          <w:szCs w:val="20"/>
        </w:rPr>
        <w:t xml:space="preserve"> </w:t>
      </w:r>
      <w:r w:rsidR="009D1932">
        <w:rPr>
          <w:rFonts w:asciiTheme="majorBidi" w:hAnsiTheme="majorBidi" w:cstheme="majorBidi"/>
          <w:szCs w:val="20"/>
        </w:rPr>
        <w:fldChar w:fldCharType="begin"/>
      </w:r>
      <w:r w:rsidR="009D1932">
        <w:rPr>
          <w:rFonts w:asciiTheme="majorBidi" w:hAnsiTheme="majorBidi" w:cstheme="majorBidi"/>
          <w:szCs w:val="20"/>
        </w:rPr>
        <w:instrText xml:space="preserve"> REF _Ref202778786 \r \h </w:instrText>
      </w:r>
      <w:r w:rsidR="001547E2">
        <w:rPr>
          <w:rFonts w:asciiTheme="majorBidi" w:hAnsiTheme="majorBidi" w:cstheme="majorBidi"/>
          <w:szCs w:val="20"/>
        </w:rPr>
        <w:instrText xml:space="preserve"> \* MERGEFORMAT </w:instrText>
      </w:r>
      <w:r w:rsidR="009D1932">
        <w:rPr>
          <w:rFonts w:asciiTheme="majorBidi" w:hAnsiTheme="majorBidi" w:cstheme="majorBidi"/>
          <w:szCs w:val="20"/>
        </w:rPr>
      </w:r>
      <w:r w:rsidR="009D1932">
        <w:rPr>
          <w:rFonts w:asciiTheme="majorBidi" w:hAnsiTheme="majorBidi" w:cstheme="majorBidi"/>
          <w:szCs w:val="20"/>
        </w:rPr>
        <w:fldChar w:fldCharType="separate"/>
      </w:r>
      <w:r w:rsidR="009D1932">
        <w:rPr>
          <w:rFonts w:asciiTheme="majorBidi" w:hAnsiTheme="majorBidi" w:cstheme="majorBidi"/>
          <w:szCs w:val="20"/>
          <w:cs/>
        </w:rPr>
        <w:t>‎</w:t>
      </w:r>
      <w:r w:rsidR="009D1932">
        <w:rPr>
          <w:rFonts w:asciiTheme="majorBidi" w:hAnsiTheme="majorBidi" w:cstheme="majorBidi"/>
          <w:szCs w:val="20"/>
        </w:rPr>
        <w:t>[3]</w:t>
      </w:r>
      <w:r w:rsidR="009D1932">
        <w:rPr>
          <w:rFonts w:asciiTheme="majorBidi" w:hAnsiTheme="majorBidi" w:cstheme="majorBidi"/>
          <w:szCs w:val="20"/>
        </w:rPr>
        <w:fldChar w:fldCharType="end"/>
      </w:r>
      <w:r w:rsidR="00931879">
        <w:rPr>
          <w:rFonts w:asciiTheme="majorBidi" w:hAnsiTheme="majorBidi" w:cstheme="majorBidi"/>
          <w:szCs w:val="20"/>
        </w:rPr>
        <w:t xml:space="preserve">,  </w:t>
      </w:r>
      <w:r w:rsidR="007F36B8">
        <w:rPr>
          <w:rFonts w:asciiTheme="majorBidi" w:hAnsiTheme="majorBidi" w:cstheme="majorBidi"/>
          <w:szCs w:val="20"/>
        </w:rPr>
        <w:t>i</w:t>
      </w:r>
      <w:r w:rsidR="008D31EA" w:rsidRPr="008D31EA">
        <w:rPr>
          <w:rFonts w:asciiTheme="majorBidi" w:hAnsiTheme="majorBidi" w:cstheme="majorBidi"/>
          <w:szCs w:val="20"/>
        </w:rPr>
        <w:t xml:space="preserve">n this paper, we </w:t>
      </w:r>
      <w:r w:rsidR="007F36B8">
        <w:rPr>
          <w:rFonts w:asciiTheme="majorBidi" w:hAnsiTheme="majorBidi" w:cstheme="majorBidi"/>
          <w:szCs w:val="20"/>
        </w:rPr>
        <w:t xml:space="preserve">continue the discussion and </w:t>
      </w:r>
      <w:r w:rsidR="008D31EA" w:rsidRPr="008D31EA">
        <w:rPr>
          <w:rFonts w:asciiTheme="majorBidi" w:hAnsiTheme="majorBidi" w:cstheme="majorBidi"/>
          <w:szCs w:val="20"/>
        </w:rPr>
        <w:t>provide our views on identified measurement event prediction related issues which need further discussions.</w:t>
      </w:r>
    </w:p>
    <w:p w14:paraId="44EE879E" w14:textId="1AE741CB" w:rsidR="00C34197" w:rsidRPr="006F3B58" w:rsidRDefault="003B659E" w:rsidP="006F3B58">
      <w:pPr>
        <w:pStyle w:val="RAN4H1"/>
        <w:rPr>
          <w:lang w:val="en-US"/>
        </w:rPr>
      </w:pPr>
      <w:bookmarkStart w:id="5" w:name="_Toc116995842"/>
      <w:bookmarkEnd w:id="4"/>
      <w:r w:rsidRPr="00614DD8">
        <w:rPr>
          <w:lang w:val="en-US"/>
        </w:rPr>
        <w:t>Discussion</w:t>
      </w:r>
      <w:bookmarkEnd w:id="5"/>
    </w:p>
    <w:p w14:paraId="0FDA56C0" w14:textId="57FCC563" w:rsidR="00A27D3C" w:rsidRPr="00A27D3C" w:rsidRDefault="00A27D3C" w:rsidP="00A27D3C">
      <w:pPr>
        <w:rPr>
          <w:lang w:val="en-US"/>
        </w:rPr>
      </w:pPr>
      <w:r>
        <w:rPr>
          <w:lang w:val="en-US"/>
        </w:rPr>
        <w:t>Regarding performance metric</w:t>
      </w:r>
      <w:r w:rsidR="00195D58">
        <w:rPr>
          <w:lang w:val="en-US"/>
        </w:rPr>
        <w:t xml:space="preserve"> </w:t>
      </w:r>
      <w:r w:rsidR="007B5873">
        <w:rPr>
          <w:lang w:val="en-US"/>
        </w:rPr>
        <w:t xml:space="preserve">and requirements </w:t>
      </w:r>
      <w:r w:rsidR="00195D58">
        <w:rPr>
          <w:lang w:val="en-US"/>
        </w:rPr>
        <w:t xml:space="preserve">for event </w:t>
      </w:r>
      <w:r w:rsidR="00AE38CF">
        <w:rPr>
          <w:lang w:val="en-US"/>
        </w:rPr>
        <w:t>prediction</w:t>
      </w:r>
      <w:r w:rsidR="00195D58">
        <w:rPr>
          <w:lang w:val="en-US"/>
        </w:rPr>
        <w:t>,</w:t>
      </w:r>
      <w:r w:rsidR="00AE38CF">
        <w:rPr>
          <w:lang w:val="en-US"/>
        </w:rPr>
        <w:t xml:space="preserve"> following </w:t>
      </w:r>
      <w:r w:rsidR="009C5B61">
        <w:rPr>
          <w:lang w:val="en-US"/>
        </w:rPr>
        <w:t xml:space="preserve">agreements have been achieved in </w:t>
      </w:r>
      <w:r w:rsidR="0049308B" w:rsidRPr="0049308B">
        <w:rPr>
          <w:lang w:val="en-US"/>
        </w:rPr>
        <w:t>RAN4#115</w:t>
      </w:r>
      <w:r w:rsidR="005660EC">
        <w:rPr>
          <w:lang w:val="en-US"/>
        </w:rPr>
        <w:t xml:space="preserve"> </w:t>
      </w:r>
      <w:r w:rsidR="00131334">
        <w:rPr>
          <w:lang w:val="en-US"/>
        </w:rPr>
        <w:t xml:space="preserve">and </w:t>
      </w:r>
      <w:r w:rsidR="00131334" w:rsidRPr="0049308B">
        <w:rPr>
          <w:lang w:val="en-US"/>
        </w:rPr>
        <w:t>RAN</w:t>
      </w:r>
      <w:r w:rsidR="005660EC" w:rsidRPr="005660EC">
        <w:rPr>
          <w:lang w:val="en-US"/>
        </w:rPr>
        <w:t>4#</w:t>
      </w:r>
      <w:r w:rsidR="005660EC">
        <w:rPr>
          <w:lang w:val="en-US"/>
        </w:rPr>
        <w:t>114 bis respectively.</w:t>
      </w:r>
      <w:r w:rsidR="005660EC" w:rsidRPr="005660EC">
        <w:rPr>
          <w:lang w:val="en-US"/>
        </w:rPr>
        <w:t xml:space="preserve"> </w:t>
      </w:r>
    </w:p>
    <w:p w14:paraId="5EAB0AC7" w14:textId="1EF5B609" w:rsidR="160B7CCF" w:rsidRDefault="160B7CCF" w:rsidP="160B7CCF">
      <w:pPr>
        <w:rPr>
          <w:lang w:val="en-US"/>
        </w:rPr>
      </w:pPr>
    </w:p>
    <w:tbl>
      <w:tblPr>
        <w:tblStyle w:val="TableGrid"/>
        <w:tblW w:w="0" w:type="auto"/>
        <w:tblLook w:val="04A0" w:firstRow="1" w:lastRow="0" w:firstColumn="1" w:lastColumn="0" w:noHBand="0" w:noVBand="1"/>
      </w:tblPr>
      <w:tblGrid>
        <w:gridCol w:w="9617"/>
      </w:tblGrid>
      <w:tr w:rsidR="00E05795" w14:paraId="1DBB8A93" w14:textId="77777777" w:rsidTr="00E05795">
        <w:tc>
          <w:tcPr>
            <w:tcW w:w="9617" w:type="dxa"/>
          </w:tcPr>
          <w:p w14:paraId="35379631" w14:textId="77777777" w:rsidR="004D5302" w:rsidRPr="000B3122" w:rsidRDefault="00B507A7" w:rsidP="00B507A7">
            <w:pPr>
              <w:rPr>
                <w:rFonts w:asciiTheme="majorBidi" w:hAnsiTheme="majorBidi" w:cstheme="majorBidi"/>
                <w:b/>
                <w:bCs/>
                <w:szCs w:val="20"/>
              </w:rPr>
            </w:pPr>
            <w:r w:rsidRPr="000B3122">
              <w:rPr>
                <w:rFonts w:asciiTheme="majorBidi" w:hAnsiTheme="majorBidi" w:cstheme="majorBidi"/>
                <w:b/>
                <w:bCs/>
                <w:szCs w:val="20"/>
              </w:rPr>
              <w:t xml:space="preserve">RAN4#114bis </w:t>
            </w:r>
          </w:p>
          <w:p w14:paraId="64E8EF30" w14:textId="3AC5115B" w:rsidR="00E05795" w:rsidRPr="000B3122" w:rsidRDefault="00E05795" w:rsidP="00E854E1">
            <w:pPr>
              <w:rPr>
                <w:b/>
                <w:bCs/>
                <w:szCs w:val="20"/>
                <w:lang w:val="en-US"/>
              </w:rPr>
            </w:pPr>
            <w:r w:rsidRPr="00131334">
              <w:rPr>
                <w:rFonts w:eastAsia="Times New Roman" w:cs="Times New Roman"/>
                <w:b/>
                <w:bCs/>
                <w:szCs w:val="20"/>
                <w:highlight w:val="green"/>
                <w:lang w:val="en-US"/>
              </w:rPr>
              <w:t>Agreement:</w:t>
            </w:r>
          </w:p>
          <w:p w14:paraId="572CE060" w14:textId="77777777" w:rsidR="00E05795" w:rsidRPr="000B3122" w:rsidRDefault="00E05795" w:rsidP="00E05795">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Potential RRM requirement impact for event prediction use case - for indirect case:</w:t>
            </w:r>
          </w:p>
          <w:p w14:paraId="6FA897D7" w14:textId="77777777" w:rsidR="00E05795" w:rsidRPr="000B3122" w:rsidRDefault="00E05795" w:rsidP="00E05795">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RAN4 to study the requirement for </w:t>
            </w:r>
            <w:proofErr w:type="gramStart"/>
            <w:r w:rsidRPr="000B3122">
              <w:rPr>
                <w:rFonts w:eastAsia="Times New Roman" w:cs="Times New Roman"/>
                <w:szCs w:val="20"/>
                <w:lang w:val="en-US"/>
              </w:rPr>
              <w:t xml:space="preserve">the </w:t>
            </w:r>
            <w:r w:rsidRPr="000B3122">
              <w:rPr>
                <w:rFonts w:eastAsia="Times New Roman" w:cs="Times New Roman"/>
                <w:szCs w:val="20"/>
                <w:u w:val="single"/>
                <w:lang w:val="en-US"/>
              </w:rPr>
              <w:t>predicted</w:t>
            </w:r>
            <w:proofErr w:type="gramEnd"/>
            <w:r w:rsidRPr="000B3122">
              <w:rPr>
                <w:rFonts w:eastAsia="Times New Roman" w:cs="Times New Roman"/>
                <w:szCs w:val="20"/>
                <w:u w:val="single"/>
                <w:lang w:val="en-US"/>
              </w:rPr>
              <w:t xml:space="preserve"> event triggered reporting</w:t>
            </w:r>
          </w:p>
          <w:p w14:paraId="31D6128F" w14:textId="77777777" w:rsidR="00E05795" w:rsidRPr="000B3122" w:rsidRDefault="00E05795" w:rsidP="00E05795">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study the requirement for [delay and accuracy]</w:t>
            </w:r>
          </w:p>
          <w:p w14:paraId="7C92D0BC" w14:textId="77777777" w:rsidR="00E05795" w:rsidRPr="000B3122" w:rsidRDefault="00E05795" w:rsidP="00E05795">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RAN4 to discuss the metric for the event prediction</w:t>
            </w:r>
          </w:p>
          <w:p w14:paraId="275EC5DE" w14:textId="77777777" w:rsidR="00E05795" w:rsidRPr="000B3122" w:rsidRDefault="00E05795" w:rsidP="00E05795">
            <w:pPr>
              <w:numPr>
                <w:ilvl w:val="0"/>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Additionally, if the report includes the predicted RSRPs [corresponding to the predicted event occurrence time], </w:t>
            </w:r>
          </w:p>
          <w:p w14:paraId="79D99C01" w14:textId="77777777" w:rsidR="00E05795" w:rsidRPr="000B3122" w:rsidRDefault="00E05795" w:rsidP="00E05795">
            <w:pPr>
              <w:numPr>
                <w:ilvl w:val="1"/>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Candidate options: </w:t>
            </w:r>
          </w:p>
          <w:p w14:paraId="2C42C1B5" w14:textId="77777777" w:rsidR="00E05795" w:rsidRPr="000B3122" w:rsidRDefault="00E05795" w:rsidP="00E05795">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Option 1: RAN4 will define requirement for the predicted RSRPs</w:t>
            </w:r>
          </w:p>
          <w:p w14:paraId="180E1399" w14:textId="77777777" w:rsidR="00E05795" w:rsidRPr="000B3122" w:rsidRDefault="00E05795" w:rsidP="00E05795">
            <w:pPr>
              <w:numPr>
                <w:ilvl w:val="2"/>
                <w:numId w:val="13"/>
              </w:numPr>
              <w:spacing w:before="100" w:beforeAutospacing="1" w:after="100" w:afterAutospacing="1"/>
              <w:rPr>
                <w:rFonts w:eastAsia="Times New Roman" w:cs="Times New Roman"/>
                <w:szCs w:val="20"/>
                <w:lang w:val="en-US"/>
              </w:rPr>
            </w:pPr>
            <w:r w:rsidRPr="000B3122">
              <w:rPr>
                <w:rFonts w:eastAsia="Times New Roman" w:cs="Times New Roman"/>
                <w:szCs w:val="20"/>
                <w:lang w:val="en-US"/>
              </w:rPr>
              <w:t xml:space="preserve">Option 2: RAN4 will not define </w:t>
            </w:r>
            <w:proofErr w:type="gramStart"/>
            <w:r w:rsidRPr="000B3122">
              <w:rPr>
                <w:rFonts w:eastAsia="Times New Roman" w:cs="Times New Roman"/>
                <w:szCs w:val="20"/>
                <w:lang w:val="en-US"/>
              </w:rPr>
              <w:t>requirement</w:t>
            </w:r>
            <w:proofErr w:type="gramEnd"/>
            <w:r w:rsidRPr="000B3122">
              <w:rPr>
                <w:rFonts w:eastAsia="Times New Roman" w:cs="Times New Roman"/>
                <w:szCs w:val="20"/>
                <w:lang w:val="en-US"/>
              </w:rPr>
              <w:t xml:space="preserve"> for the predicted RSRPs</w:t>
            </w:r>
          </w:p>
          <w:p w14:paraId="20ACBC2B" w14:textId="5E4BEBC1" w:rsidR="00E05795" w:rsidRDefault="00E05795" w:rsidP="160B7CCF">
            <w:pPr>
              <w:rPr>
                <w:lang w:val="en-US"/>
              </w:rPr>
            </w:pPr>
          </w:p>
        </w:tc>
      </w:tr>
    </w:tbl>
    <w:p w14:paraId="3273EF4D" w14:textId="77777777" w:rsidR="00E05795" w:rsidRDefault="00E05795" w:rsidP="160B7CCF">
      <w:pPr>
        <w:rPr>
          <w:lang w:val="en-US"/>
        </w:rPr>
      </w:pPr>
    </w:p>
    <w:tbl>
      <w:tblPr>
        <w:tblStyle w:val="TableGrid"/>
        <w:tblW w:w="0" w:type="auto"/>
        <w:tblLook w:val="04A0" w:firstRow="1" w:lastRow="0" w:firstColumn="1" w:lastColumn="0" w:noHBand="0" w:noVBand="1"/>
      </w:tblPr>
      <w:tblGrid>
        <w:gridCol w:w="9617"/>
      </w:tblGrid>
      <w:tr w:rsidR="00131334" w14:paraId="05E1EC53" w14:textId="77777777">
        <w:tc>
          <w:tcPr>
            <w:tcW w:w="9617" w:type="dxa"/>
          </w:tcPr>
          <w:p w14:paraId="6F8014A4" w14:textId="77777777" w:rsidR="00131334" w:rsidRDefault="00131334" w:rsidP="00131334">
            <w:pPr>
              <w:snapToGrid w:val="0"/>
              <w:spacing w:before="100" w:beforeAutospacing="1" w:after="120"/>
              <w:rPr>
                <w:b/>
                <w:bCs/>
                <w:szCs w:val="21"/>
              </w:rPr>
            </w:pPr>
            <w:r w:rsidRPr="00131334">
              <w:rPr>
                <w:b/>
                <w:bCs/>
                <w:szCs w:val="21"/>
              </w:rPr>
              <w:t>RAN4#115:</w:t>
            </w:r>
          </w:p>
          <w:p w14:paraId="69E9798E" w14:textId="341A4970" w:rsidR="00131334" w:rsidRPr="00131334" w:rsidRDefault="00131334" w:rsidP="00131334">
            <w:pPr>
              <w:snapToGrid w:val="0"/>
              <w:spacing w:before="100" w:beforeAutospacing="1" w:after="120"/>
              <w:rPr>
                <w:b/>
                <w:bCs/>
                <w:szCs w:val="21"/>
                <w:highlight w:val="green"/>
              </w:rPr>
            </w:pPr>
            <w:r w:rsidRPr="00131334">
              <w:rPr>
                <w:b/>
                <w:bCs/>
                <w:szCs w:val="21"/>
                <w:highlight w:val="green"/>
              </w:rPr>
              <w:t>Agreement:</w:t>
            </w:r>
          </w:p>
          <w:p w14:paraId="3CE93AC4" w14:textId="77777777" w:rsidR="00131334" w:rsidRPr="000036BE" w:rsidRDefault="00131334" w:rsidP="00131334">
            <w:pPr>
              <w:snapToGrid w:val="0"/>
              <w:spacing w:before="100" w:beforeAutospacing="1" w:after="120"/>
              <w:rPr>
                <w:rFonts w:eastAsia="MS Mincho"/>
                <w:b/>
                <w:bCs/>
                <w:sz w:val="22"/>
                <w:szCs w:val="24"/>
                <w:u w:val="single"/>
                <w:lang w:eastAsia="zh-CN"/>
              </w:rPr>
            </w:pPr>
            <w:r w:rsidRPr="00131334">
              <w:rPr>
                <w:szCs w:val="21"/>
              </w:rPr>
              <w:t>In case of indirect measurement event prediction use case, if the report includes the predicted RSRPs [corresponding to the predicted event occurrence time], RAN4 will define requirement for the absolute and/or relative accuracy of predicted RSRP.</w:t>
            </w:r>
          </w:p>
          <w:p w14:paraId="141F0A7C" w14:textId="77777777" w:rsidR="00131334" w:rsidRPr="00131334" w:rsidRDefault="00131334" w:rsidP="00BB5852">
            <w:pPr>
              <w:jc w:val="both"/>
            </w:pPr>
          </w:p>
        </w:tc>
      </w:tr>
    </w:tbl>
    <w:p w14:paraId="726DE6AC" w14:textId="77777777" w:rsidR="00A92874" w:rsidRDefault="00A92874" w:rsidP="00BB5852">
      <w:pPr>
        <w:jc w:val="both"/>
        <w:rPr>
          <w:lang w:val="en-US"/>
        </w:rPr>
      </w:pPr>
    </w:p>
    <w:p w14:paraId="4E5C44DD" w14:textId="5309DCE9" w:rsidR="00A92874" w:rsidRDefault="007457C8" w:rsidP="007457C8">
      <w:pPr>
        <w:pStyle w:val="RAN4H2"/>
        <w:rPr>
          <w:lang w:val="en-US"/>
        </w:rPr>
      </w:pPr>
      <w:r w:rsidRPr="007457C8">
        <w:rPr>
          <w:lang w:val="en-US"/>
        </w:rPr>
        <w:lastRenderedPageBreak/>
        <w:t>Measurement Event Prediction</w:t>
      </w:r>
    </w:p>
    <w:p w14:paraId="5910E3B2" w14:textId="3EA801DD" w:rsidR="00BB5852" w:rsidRDefault="00BB5852" w:rsidP="00BB5852">
      <w:pPr>
        <w:jc w:val="both"/>
        <w:rPr>
          <w:lang w:val="en-US"/>
        </w:rPr>
      </w:pPr>
      <w:r w:rsidRPr="00DD4314">
        <w:rPr>
          <w:lang w:val="en-US"/>
        </w:rPr>
        <w:t xml:space="preserve">In indirect measurement event prediction for intra-frequency scenarios—such as temporal domain case A, temporal domain case B, or the </w:t>
      </w:r>
      <w:r>
        <w:rPr>
          <w:lang w:val="en-US"/>
        </w:rPr>
        <w:t>frequency</w:t>
      </w:r>
      <w:r w:rsidRPr="00DD4314">
        <w:rPr>
          <w:lang w:val="en-US"/>
        </w:rPr>
        <w:t xml:space="preserve"> domain—</w:t>
      </w:r>
      <w:r>
        <w:rPr>
          <w:lang w:val="en-US"/>
        </w:rPr>
        <w:t xml:space="preserve">, as described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DD4314">
        <w:rPr>
          <w:lang w:val="en-US"/>
        </w:rPr>
        <w:t>a Radio Resource Management (RRM) measurement prediction model first predicts the measurement result(s), potentially utilizing AI/ML models. Subsequently, the predicted results, along with optionally included actual historical measurement data from the same cell, are used to determine whether a measurement event will occur at a specific future time instance. The post-processing phase operates without further involvement of an AI/ML model.</w:t>
      </w:r>
    </w:p>
    <w:p w14:paraId="77FC0DFC" w14:textId="77777777" w:rsidR="00BB5852" w:rsidRDefault="00BB5852" w:rsidP="00BB5852">
      <w:pPr>
        <w:rPr>
          <w:lang w:val="en-US"/>
        </w:rPr>
      </w:pPr>
    </w:p>
    <w:p w14:paraId="1BB17316" w14:textId="77777777" w:rsidR="00BB5852" w:rsidRPr="00382FE9" w:rsidRDefault="00BB5852" w:rsidP="00BB5852">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7D261594" wp14:editId="3916C634">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0198D442" w14:textId="77777777" w:rsidR="00BB5852" w:rsidRPr="00382FE9" w:rsidRDefault="00BB5852" w:rsidP="00BB5852">
      <w:pPr>
        <w:spacing w:after="200" w:line="240" w:lineRule="auto"/>
        <w:jc w:val="center"/>
        <w:rPr>
          <w:rFonts w:ascii="Arial" w:hAnsi="Arial"/>
          <w:i/>
          <w:iCs/>
          <w:sz w:val="18"/>
          <w:szCs w:val="18"/>
        </w:rPr>
      </w:pPr>
      <w:bookmarkStart w:id="6"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6"/>
      <w:r w:rsidRPr="00382FE9">
        <w:rPr>
          <w:rFonts w:ascii="Arial" w:hAnsi="Arial"/>
          <w:i/>
          <w:iCs/>
          <w:sz w:val="18"/>
          <w:szCs w:val="18"/>
        </w:rPr>
        <w:t>: Indirect measurement event prediction.</w:t>
      </w:r>
    </w:p>
    <w:p w14:paraId="7FBE343C" w14:textId="77777777" w:rsidR="00A75179" w:rsidRPr="00A75179" w:rsidRDefault="00A75179" w:rsidP="0084486C">
      <w:pPr>
        <w:jc w:val="both"/>
        <w:rPr>
          <w:lang w:val="en-US"/>
        </w:rPr>
      </w:pPr>
      <w:r w:rsidRPr="00A75179">
        <w:rPr>
          <w:lang w:val="en-US"/>
        </w:rPr>
        <w:t>RAN2 has agreed on four models for indirect measurement event prediction: time-domain case A, time-domain case B, frequency-domain, and spatial-domain prediction.</w:t>
      </w:r>
    </w:p>
    <w:p w14:paraId="3B36A336" w14:textId="77777777" w:rsidR="00A75179" w:rsidRPr="00A75179" w:rsidRDefault="00A75179" w:rsidP="0084486C">
      <w:pPr>
        <w:jc w:val="both"/>
        <w:rPr>
          <w:lang w:val="en-US"/>
        </w:rPr>
      </w:pPr>
      <w:r w:rsidRPr="00A75179">
        <w:rPr>
          <w:lang w:val="en-US"/>
        </w:rPr>
        <w:t xml:space="preserve">However, based on the current progress, </w:t>
      </w:r>
      <w:proofErr w:type="gramStart"/>
      <w:r w:rsidRPr="00A75179">
        <w:rPr>
          <w:lang w:val="en-US"/>
        </w:rPr>
        <w:t>RAN2 is</w:t>
      </w:r>
      <w:proofErr w:type="gramEnd"/>
      <w:r w:rsidRPr="00A75179">
        <w:rPr>
          <w:lang w:val="en-US"/>
        </w:rPr>
        <w:t xml:space="preserve"> primarily </w:t>
      </w:r>
      <w:proofErr w:type="gramStart"/>
      <w:r w:rsidRPr="00A75179">
        <w:rPr>
          <w:lang w:val="en-US"/>
        </w:rPr>
        <w:t>focusing</w:t>
      </w:r>
      <w:proofErr w:type="gramEnd"/>
      <w:r w:rsidRPr="00A75179">
        <w:rPr>
          <w:lang w:val="en-US"/>
        </w:rPr>
        <w:t xml:space="preserve"> on the two time-domain models. Case A is considered for FR2 with the objective of predicting A3 events to enable earlier handover (HO) preparation, thereby enhancing HO execution performance.</w:t>
      </w:r>
    </w:p>
    <w:p w14:paraId="763B36C6" w14:textId="7F32BCDF" w:rsidR="00BB5852" w:rsidRDefault="00A75179" w:rsidP="0084486C">
      <w:pPr>
        <w:jc w:val="both"/>
        <w:rPr>
          <w:lang w:val="en-US"/>
        </w:rPr>
      </w:pPr>
      <w:r w:rsidRPr="00A75179">
        <w:rPr>
          <w:lang w:val="en-US"/>
        </w:rPr>
        <w:t>Case B addresses scenarios where measurements may be skipped, aiming to predict A3 events under such conditions. This approach targets a reduction in measurement overhead while maintaining comparable HO performance.</w:t>
      </w:r>
    </w:p>
    <w:p w14:paraId="58B13227" w14:textId="7228AE58" w:rsidR="00BB5852" w:rsidRPr="00F25BD7" w:rsidRDefault="0084486C" w:rsidP="00BB5852">
      <w:pPr>
        <w:rPr>
          <w:lang w:val="en-US"/>
        </w:rPr>
      </w:pPr>
      <w:r w:rsidRPr="0084486C">
        <w:rPr>
          <w:lang w:val="en-US"/>
        </w:rPr>
        <w:fldChar w:fldCharType="begin"/>
      </w:r>
      <w:r w:rsidRPr="0084486C">
        <w:rPr>
          <w:lang w:val="en-US"/>
        </w:rPr>
        <w:instrText xml:space="preserve"> REF _Ref205900168 \h  \* MERGEFORMAT </w:instrText>
      </w:r>
      <w:r w:rsidRPr="0084486C">
        <w:rPr>
          <w:lang w:val="en-US"/>
        </w:rPr>
      </w:r>
      <w:r w:rsidRPr="0084486C">
        <w:rPr>
          <w:lang w:val="en-US"/>
        </w:rPr>
        <w:fldChar w:fldCharType="separate"/>
      </w:r>
      <w:r w:rsidRPr="0084486C">
        <w:t xml:space="preserve">Figure </w:t>
      </w:r>
      <w:r w:rsidRPr="0084486C">
        <w:rPr>
          <w:noProof/>
        </w:rPr>
        <w:t>2</w:t>
      </w:r>
      <w:r w:rsidRPr="0084486C">
        <w:rPr>
          <w:lang w:val="en-US"/>
        </w:rPr>
        <w:fldChar w:fldCharType="end"/>
      </w:r>
      <w:r w:rsidR="00BB5852" w:rsidRPr="0084486C">
        <w:rPr>
          <w:lang w:val="en-US"/>
        </w:rPr>
        <w:t xml:space="preserve"> provi</w:t>
      </w:r>
      <w:r w:rsidR="00BB5852" w:rsidRPr="00F25BD7">
        <w:rPr>
          <w:lang w:val="en-US"/>
        </w:rPr>
        <w:t>des an example of time domain case-A RRM measurement prediction.</w:t>
      </w:r>
    </w:p>
    <w:p w14:paraId="20DDF57C" w14:textId="77777777" w:rsidR="00BB5852" w:rsidRPr="00F25BD7" w:rsidRDefault="00BB5852" w:rsidP="00BB5852">
      <w:pPr>
        <w:jc w:val="center"/>
        <w:rPr>
          <w:lang w:val="en-US"/>
        </w:rPr>
      </w:pPr>
      <w:r w:rsidRPr="00F25BD7">
        <w:rPr>
          <w:noProof/>
          <w:lang w:val="en-US"/>
        </w:rPr>
        <w:drawing>
          <wp:inline distT="0" distB="0" distL="0" distR="0" wp14:anchorId="39BE810C" wp14:editId="5C698020">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E1F5E6D" w14:textId="3F74D512" w:rsidR="00BB5852" w:rsidRPr="00F25BD7" w:rsidRDefault="00BB5852" w:rsidP="00BB5852">
      <w:pPr>
        <w:jc w:val="center"/>
        <w:rPr>
          <w:i/>
          <w:iCs/>
        </w:rPr>
      </w:pPr>
      <w:bookmarkStart w:id="7" w:name="_Ref205900168"/>
      <w:bookmarkStart w:id="8" w:name="_Ref205900158"/>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00E94C4A">
        <w:rPr>
          <w:i/>
          <w:iCs/>
          <w:noProof/>
        </w:rPr>
        <w:t>2</w:t>
      </w:r>
      <w:r w:rsidRPr="00F25BD7">
        <w:rPr>
          <w:lang w:val="en-US"/>
        </w:rPr>
        <w:fldChar w:fldCharType="end"/>
      </w:r>
      <w:bookmarkEnd w:id="7"/>
      <w:r w:rsidRPr="00F25BD7">
        <w:rPr>
          <w:i/>
          <w:iCs/>
        </w:rPr>
        <w:t>: Time domain case A RRM measurement prediction</w:t>
      </w:r>
      <w:bookmarkEnd w:id="8"/>
    </w:p>
    <w:p w14:paraId="30ED6AE5" w14:textId="4676D32F" w:rsidR="003A52C5" w:rsidRDefault="003A52C5" w:rsidP="0084486C">
      <w:pPr>
        <w:jc w:val="both"/>
      </w:pPr>
      <w:r>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0424A92A" w14:textId="10C08C11" w:rsidR="00BB5852" w:rsidRPr="00F25BD7" w:rsidRDefault="003A52C5" w:rsidP="0084486C">
      <w:pPr>
        <w:jc w:val="both"/>
        <w:rPr>
          <w:lang w:val="en-US"/>
        </w:rPr>
      </w:pPr>
      <w:r>
        <w:t xml:space="preserve">In time-domain indirect measurement event prediction Case B, the objective is to reduce the number of required </w:t>
      </w:r>
      <w:proofErr w:type="gramStart"/>
      <w:r>
        <w:t>downlink</w:t>
      </w:r>
      <w:proofErr w:type="gramEnd"/>
      <w:r>
        <w:t xml:space="preserve">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w:t>
      </w:r>
      <w:proofErr w:type="gramStart"/>
      <w:r>
        <w:t>reporting.</w:t>
      </w:r>
      <w:r w:rsidR="00BB5852" w:rsidRPr="00F25BD7">
        <w:rPr>
          <w:lang w:val="en-US"/>
        </w:rPr>
        <w:t>Two</w:t>
      </w:r>
      <w:proofErr w:type="gramEnd"/>
      <w:r w:rsidR="00BB5852" w:rsidRPr="00F25BD7">
        <w:rPr>
          <w:lang w:val="en-US"/>
        </w:rPr>
        <w:t xml:space="preserve"> examples for skipping patterns are shown in</w:t>
      </w:r>
      <w:r w:rsidR="0084486C">
        <w:rPr>
          <w:lang w:val="en-US"/>
        </w:rPr>
        <w:t xml:space="preserve"> </w:t>
      </w:r>
      <w:r w:rsidR="0084486C">
        <w:rPr>
          <w:lang w:val="en-US"/>
        </w:rPr>
        <w:fldChar w:fldCharType="begin"/>
      </w:r>
      <w:r w:rsidR="0084486C">
        <w:rPr>
          <w:lang w:val="en-US"/>
        </w:rPr>
        <w:instrText xml:space="preserve"> REF _Ref205900241 \h  \* MERGEFORMAT </w:instrText>
      </w:r>
      <w:r w:rsidR="0084486C">
        <w:rPr>
          <w:lang w:val="en-US"/>
        </w:rPr>
      </w:r>
      <w:r w:rsidR="0084486C">
        <w:rPr>
          <w:lang w:val="en-US"/>
        </w:rPr>
        <w:fldChar w:fldCharType="separate"/>
      </w:r>
      <w:r w:rsidR="0084486C" w:rsidRPr="00F25BD7">
        <w:rPr>
          <w:i/>
          <w:iCs/>
        </w:rPr>
        <w:t xml:space="preserve">Figure </w:t>
      </w:r>
      <w:r w:rsidR="0084486C">
        <w:rPr>
          <w:i/>
          <w:iCs/>
          <w:noProof/>
        </w:rPr>
        <w:t>3</w:t>
      </w:r>
      <w:r w:rsidR="0084486C">
        <w:rPr>
          <w:lang w:val="en-US"/>
        </w:rPr>
        <w:fldChar w:fldCharType="end"/>
      </w:r>
      <w:r w:rsidR="00BB5852" w:rsidRPr="00F25BD7">
        <w:rPr>
          <w:lang w:val="en-US"/>
        </w:rPr>
        <w:t xml:space="preserve">. </w:t>
      </w:r>
    </w:p>
    <w:p w14:paraId="0D7A58CC" w14:textId="77777777" w:rsidR="00BB5852" w:rsidRPr="00F25BD7" w:rsidRDefault="00BB5852" w:rsidP="00BB5852">
      <w:pPr>
        <w:jc w:val="center"/>
      </w:pPr>
      <w:r w:rsidRPr="00F25BD7">
        <w:rPr>
          <w:noProof/>
        </w:rPr>
        <w:lastRenderedPageBreak/>
        <w:drawing>
          <wp:inline distT="0" distB="0" distL="0" distR="0" wp14:anchorId="56653280" wp14:editId="034F4167">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5">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29AD47DA" w14:textId="1E474F93" w:rsidR="00BB5852" w:rsidRPr="00F25BD7" w:rsidRDefault="00BB5852" w:rsidP="00BB5852">
      <w:pPr>
        <w:jc w:val="center"/>
        <w:rPr>
          <w:i/>
          <w:iCs/>
          <w:lang w:val="en-US"/>
        </w:rPr>
      </w:pPr>
      <w:bookmarkStart w:id="9" w:name="_Ref205900241"/>
      <w:r w:rsidRPr="00F25BD7">
        <w:rPr>
          <w:i/>
          <w:iCs/>
        </w:rPr>
        <w:t xml:space="preserve">Figure </w:t>
      </w:r>
      <w:r w:rsidRPr="00F25BD7">
        <w:rPr>
          <w:i/>
          <w:iCs/>
        </w:rPr>
        <w:fldChar w:fldCharType="begin"/>
      </w:r>
      <w:r w:rsidRPr="00F25BD7">
        <w:rPr>
          <w:i/>
          <w:iCs/>
        </w:rPr>
        <w:instrText xml:space="preserve"> SEQ Figure \* ARABIC </w:instrText>
      </w:r>
      <w:r w:rsidRPr="00F25BD7">
        <w:rPr>
          <w:i/>
          <w:iCs/>
        </w:rPr>
        <w:fldChar w:fldCharType="separate"/>
      </w:r>
      <w:r w:rsidR="0084486C">
        <w:rPr>
          <w:i/>
          <w:iCs/>
          <w:noProof/>
        </w:rPr>
        <w:t>3</w:t>
      </w:r>
      <w:r w:rsidRPr="00F25BD7">
        <w:rPr>
          <w:lang w:val="en-US"/>
        </w:rPr>
        <w:fldChar w:fldCharType="end"/>
      </w:r>
      <w:bookmarkEnd w:id="9"/>
      <w:r w:rsidRPr="00F25BD7">
        <w:rPr>
          <w:i/>
          <w:iCs/>
        </w:rPr>
        <w:t>: Examples of time domain case B measurement prediction</w:t>
      </w:r>
    </w:p>
    <w:p w14:paraId="77AA4371" w14:textId="11F85ED8" w:rsidR="00BB5852" w:rsidRPr="00F25BD7" w:rsidRDefault="00BB5852" w:rsidP="00BB5852">
      <w:pPr>
        <w:jc w:val="both"/>
        <w:rPr>
          <w:lang w:val="en-US"/>
        </w:rPr>
      </w:pPr>
      <w:r w:rsidRPr="00F25BD7">
        <w:rPr>
          <w:lang w:val="en-US"/>
        </w:rPr>
        <w:t xml:space="preserve">It has been agreed in RAN2 to study the measurement event prediction also with time domain case B RRM measurement prediction in FR1. In this case, the PW is typically short, and predictions are not made for every measurement period, so any </w:t>
      </w:r>
      <w:r w:rsidR="003311FE" w:rsidRPr="00F25BD7">
        <w:rPr>
          <w:lang w:val="en-US"/>
        </w:rPr>
        <w:t>gain</w:t>
      </w:r>
      <w:r w:rsidRPr="00F25BD7">
        <w:rPr>
          <w:lang w:val="en-US"/>
        </w:rPr>
        <w:t xml:space="preserve"> that can be expected from the future predictions is low. On the other hand, all mobility decisions are made based on measurement-event-triggered reporting based on actual measurements and predictions, which may set higher requirements for the accuracy of the predictions. </w:t>
      </w:r>
    </w:p>
    <w:p w14:paraId="59EA50AB" w14:textId="77777777" w:rsidR="00BB5852" w:rsidRPr="00F25BD7" w:rsidRDefault="00BB5852" w:rsidP="00BB5852">
      <w:pPr>
        <w:rPr>
          <w:lang w:val="en-US"/>
        </w:rPr>
      </w:pPr>
    </w:p>
    <w:p w14:paraId="7463F173" w14:textId="66BAF359" w:rsidR="00BB5852" w:rsidRPr="00F25BD7" w:rsidRDefault="00BB5852" w:rsidP="00DE7CD4">
      <w:pPr>
        <w:numPr>
          <w:ilvl w:val="0"/>
          <w:numId w:val="2"/>
        </w:numPr>
      </w:pPr>
      <w:bookmarkStart w:id="10" w:name="_Hlk197700526"/>
      <w:bookmarkStart w:id="11" w:name="_Hlk206101370"/>
      <w:r w:rsidRPr="00F25BD7">
        <w:t xml:space="preserve">The following scenarios </w:t>
      </w:r>
      <w:r>
        <w:t>have been</w:t>
      </w:r>
      <w:r w:rsidRPr="00F25BD7">
        <w:t xml:space="preserve"> considered </w:t>
      </w:r>
      <w:r>
        <w:t xml:space="preserve">in RAN2 </w:t>
      </w:r>
      <w:r w:rsidRPr="00F25BD7">
        <w:t>for indirect measurement event prediction using temporal domain predictions:</w:t>
      </w:r>
      <w:r>
        <w:t xml:space="preserve"> 1)</w:t>
      </w:r>
      <w:r w:rsidRPr="00F25BD7">
        <w:t xml:space="preserve"> Temporal domain Case A: The UE predicts a probable future measurement event, which may be used in mobility optimization decisions, but there is no measurement reduction. </w:t>
      </w:r>
      <w:r>
        <w:t xml:space="preserve">2) </w:t>
      </w:r>
      <w:r w:rsidRPr="00F25BD7">
        <w:t xml:space="preserve">Temporal domain Case B: The UE is predicting measurements for measurement reduction, which should not have significant impact on the mobility performance. </w:t>
      </w:r>
      <w:bookmarkEnd w:id="10"/>
    </w:p>
    <w:p w14:paraId="29F68A1E" w14:textId="77777777" w:rsidR="006C1490" w:rsidRPr="00F25BD7" w:rsidRDefault="006C1490" w:rsidP="00DE7CD4">
      <w:pPr>
        <w:ind w:left="360"/>
      </w:pPr>
      <w:bookmarkStart w:id="12" w:name="_Hlk197700556"/>
      <w:bookmarkEnd w:id="11"/>
    </w:p>
    <w:bookmarkEnd w:id="12"/>
    <w:p w14:paraId="44CF9DC9" w14:textId="07C0DCE1" w:rsidR="00BB5852" w:rsidRDefault="00DB10DA" w:rsidP="00BB5852">
      <w:pPr>
        <w:pStyle w:val="RAN4H2"/>
        <w:rPr>
          <w:lang w:val="en-US"/>
        </w:rPr>
      </w:pPr>
      <w:r>
        <w:rPr>
          <w:lang w:val="en-US"/>
        </w:rPr>
        <w:t xml:space="preserve">RAN2 </w:t>
      </w:r>
      <w:r w:rsidR="00BB5852">
        <w:rPr>
          <w:lang w:val="en-US"/>
        </w:rPr>
        <w:t xml:space="preserve">Performance </w:t>
      </w:r>
      <w:r w:rsidR="00C7220E">
        <w:rPr>
          <w:lang w:val="en-US"/>
        </w:rPr>
        <w:t>M</w:t>
      </w:r>
      <w:r w:rsidR="00BB5852">
        <w:rPr>
          <w:lang w:val="en-US"/>
        </w:rPr>
        <w:t xml:space="preserve">etric for </w:t>
      </w:r>
      <w:r w:rsidR="00C7220E">
        <w:rPr>
          <w:lang w:val="en-US"/>
        </w:rPr>
        <w:t>I</w:t>
      </w:r>
      <w:r w:rsidR="00BB5852" w:rsidRPr="00C4446A">
        <w:rPr>
          <w:lang w:val="en-US"/>
        </w:rPr>
        <w:t xml:space="preserve">ndirect </w:t>
      </w:r>
      <w:r w:rsidR="00C7220E">
        <w:rPr>
          <w:lang w:val="en-US"/>
        </w:rPr>
        <w:t>M</w:t>
      </w:r>
      <w:r w:rsidR="00BB5852" w:rsidRPr="00C4446A">
        <w:rPr>
          <w:lang w:val="en-US"/>
        </w:rPr>
        <w:t xml:space="preserve">easurement </w:t>
      </w:r>
      <w:r w:rsidR="00C7220E">
        <w:rPr>
          <w:lang w:val="en-US"/>
        </w:rPr>
        <w:t>E</w:t>
      </w:r>
      <w:r w:rsidR="00BB5852" w:rsidRPr="00C4446A">
        <w:rPr>
          <w:lang w:val="en-US"/>
        </w:rPr>
        <w:t xml:space="preserve">vent </w:t>
      </w:r>
      <w:r w:rsidR="00C7220E">
        <w:rPr>
          <w:lang w:val="en-US"/>
        </w:rPr>
        <w:t>P</w:t>
      </w:r>
      <w:r w:rsidR="00BB5852" w:rsidRPr="00C4446A">
        <w:rPr>
          <w:lang w:val="en-US"/>
        </w:rPr>
        <w:t>rediction</w:t>
      </w:r>
    </w:p>
    <w:p w14:paraId="4A4EB490" w14:textId="77777777" w:rsidR="00BB5852" w:rsidRDefault="00BB5852" w:rsidP="008A0EBA">
      <w:pPr>
        <w:jc w:val="both"/>
        <w:rPr>
          <w:lang w:val="en-US"/>
        </w:rPr>
      </w:pPr>
      <w:r>
        <w:rPr>
          <w:lang w:val="en-US"/>
        </w:rPr>
        <w:t>However, in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BB5852" w14:paraId="6C9572D8" w14:textId="77777777" w:rsidTr="00F061EE">
        <w:tc>
          <w:tcPr>
            <w:tcW w:w="9631" w:type="dxa"/>
            <w:vAlign w:val="center"/>
          </w:tcPr>
          <w:p w14:paraId="4871C291" w14:textId="77777777" w:rsidR="00BB5852" w:rsidRDefault="00BB5852" w:rsidP="00F061EE">
            <w:pPr>
              <w:ind w:left="568"/>
              <w:rPr>
                <w:lang w:eastAsia="zh-CN"/>
              </w:rPr>
            </w:pPr>
            <w:r>
              <w:rPr>
                <w:rFonts w:hint="eastAsia"/>
                <w:lang w:eastAsia="zh-CN"/>
              </w:rPr>
              <w:t>The performance metric F1 score is defined as following:</w:t>
            </w:r>
          </w:p>
          <w:p w14:paraId="4F420EBD" w14:textId="77777777" w:rsidR="00BB5852" w:rsidRDefault="00BB5852" w:rsidP="00F061EE">
            <w:pPr>
              <w:ind w:left="568"/>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p>
          <w:p w14:paraId="343C4F3D" w14:textId="77777777" w:rsidR="00BB5852" w:rsidRDefault="00BB5852" w:rsidP="00F061EE">
            <w:pPr>
              <w:ind w:left="568"/>
              <w:rPr>
                <w:lang w:eastAsia="zh-CN"/>
              </w:rPr>
            </w:pPr>
            <w:r>
              <w:rPr>
                <w:lang w:eastAsia="zh-CN"/>
              </w:rPr>
              <w:t>W</w:t>
            </w:r>
            <w:r>
              <w:rPr>
                <w:rFonts w:hint="eastAsia"/>
                <w:lang w:eastAsia="zh-CN"/>
              </w:rPr>
              <w:t>here:</w:t>
            </w:r>
          </w:p>
          <w:p w14:paraId="08B8A431" w14:textId="77777777" w:rsidR="00BB5852" w:rsidRDefault="00BB5852" w:rsidP="00F061EE">
            <w:pPr>
              <w:ind w:left="568"/>
              <w:rPr>
                <w:lang w:eastAsia="zh-CN"/>
              </w:rPr>
            </w:pPr>
            <w:r w:rsidRPr="008A0032">
              <w:rPr>
                <w:lang w:eastAsia="zh-CN"/>
              </w:rPr>
              <w:t>Precision</w:t>
            </w:r>
            <w:r w:rsidRPr="008A0032">
              <w:rPr>
                <w:lang w:eastAsia="zh-CN"/>
              </w:rPr>
              <w:tab/>
              <w:t>= n3/(n1+n3)</w:t>
            </w:r>
          </w:p>
          <w:p w14:paraId="2E7F94CA" w14:textId="77777777" w:rsidR="00BB5852" w:rsidRDefault="00BB5852" w:rsidP="00F061EE">
            <w:pPr>
              <w:ind w:left="568"/>
              <w:rPr>
                <w:lang w:eastAsia="zh-CN"/>
              </w:rPr>
            </w:pPr>
            <w:r w:rsidRPr="008A0032">
              <w:rPr>
                <w:lang w:eastAsia="zh-CN"/>
              </w:rPr>
              <w:t xml:space="preserve">Recall </w:t>
            </w:r>
            <w:r w:rsidRPr="008A0032">
              <w:rPr>
                <w:lang w:eastAsia="zh-CN"/>
              </w:rPr>
              <w:tab/>
              <w:t>=n3/(n2+n3)</w:t>
            </w:r>
          </w:p>
          <w:p w14:paraId="6F7BCA91" w14:textId="77777777" w:rsidR="00BB5852" w:rsidRPr="008A0032" w:rsidRDefault="00BB5852" w:rsidP="00F061EE">
            <w:pPr>
              <w:ind w:left="568"/>
              <w:rPr>
                <w:lang w:eastAsia="zh-CN"/>
              </w:rPr>
            </w:pPr>
            <w:r>
              <w:rPr>
                <w:rFonts w:hint="eastAsia"/>
                <w:lang w:eastAsia="zh-CN"/>
              </w:rPr>
              <w:t>For indirect prediction, the counter n1, n2 and n3 in the formula are defined as following:</w:t>
            </w:r>
          </w:p>
          <w:p w14:paraId="7B171DEC" w14:textId="77777777" w:rsidR="00BB5852" w:rsidRDefault="00BB5852" w:rsidP="00F061EE">
            <w:pPr>
              <w:ind w:left="568"/>
              <w:rPr>
                <w:lang w:eastAsia="zh-CN"/>
              </w:rPr>
            </w:pPr>
            <w:r w:rsidRPr="006205EA">
              <w:rPr>
                <w:b/>
                <w:bCs/>
                <w:lang w:eastAsia="zh-CN"/>
              </w:rPr>
              <w:t>Counter n3</w:t>
            </w:r>
            <w:r>
              <w:rPr>
                <w:lang w:eastAsia="zh-CN"/>
              </w:rPr>
              <w:t xml:space="preserve">(true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40E3F3AD" w14:textId="77777777" w:rsidR="00BB5852" w:rsidRDefault="00BB5852" w:rsidP="00F061EE">
            <w:pPr>
              <w:ind w:left="568"/>
              <w:rPr>
                <w:lang w:eastAsia="zh-CN"/>
              </w:rPr>
            </w:pPr>
            <w:r w:rsidRPr="006205EA">
              <w:rPr>
                <w:b/>
                <w:bCs/>
                <w:lang w:eastAsia="zh-CN"/>
              </w:rPr>
              <w:t>Counter n1</w:t>
            </w:r>
            <w:r>
              <w:rPr>
                <w:lang w:eastAsia="zh-CN"/>
              </w:rPr>
              <w:t xml:space="preserve">(false event detection): it increases by 1 when no </w:t>
            </w:r>
            <w:r>
              <w:rPr>
                <w:rFonts w:hint="eastAsia"/>
                <w:lang w:eastAsia="zh-CN"/>
              </w:rPr>
              <w:t>ground-truth</w:t>
            </w:r>
            <w:r>
              <w:rPr>
                <w:lang w:eastAsia="zh-CN"/>
              </w:rPr>
              <w:t xml:space="preserve"> event occurs around a predicted event with ETD, whose range is [0, maximum ETD]</w:t>
            </w:r>
          </w:p>
          <w:p w14:paraId="040800F4" w14:textId="77777777" w:rsidR="00BB5852" w:rsidRDefault="00BB5852" w:rsidP="00F061EE">
            <w:pPr>
              <w:ind w:left="568"/>
              <w:rPr>
                <w:lang w:eastAsia="zh-CN"/>
              </w:rPr>
            </w:pPr>
            <w:r w:rsidRPr="006205EA">
              <w:rPr>
                <w:b/>
                <w:bCs/>
                <w:lang w:eastAsia="zh-CN"/>
              </w:rPr>
              <w:t>Counter n2</w:t>
            </w:r>
            <w:r>
              <w:rPr>
                <w:lang w:eastAsia="zh-CN"/>
              </w:rPr>
              <w:t xml:space="preserve">(missed event detection): it increases by 1 when no event is predicted around a </w:t>
            </w:r>
            <w:r>
              <w:rPr>
                <w:rFonts w:hint="eastAsia"/>
                <w:lang w:eastAsia="zh-CN"/>
              </w:rPr>
              <w:t>ground-truth</w:t>
            </w:r>
            <w:r>
              <w:rPr>
                <w:lang w:eastAsia="zh-CN"/>
              </w:rPr>
              <w:t xml:space="preserve"> event with ETD, whose range is [0, maximum ETD]</w:t>
            </w:r>
          </w:p>
          <w:p w14:paraId="42194098" w14:textId="77777777" w:rsidR="00BB5852" w:rsidRDefault="00BB5852" w:rsidP="00F061EE">
            <w:pPr>
              <w:ind w:left="568"/>
              <w:rPr>
                <w:lang w:eastAsia="zh-CN"/>
              </w:rPr>
            </w:pPr>
            <w:r>
              <w:rPr>
                <w:rFonts w:hint="eastAsia"/>
                <w:lang w:eastAsia="zh-CN"/>
              </w:rPr>
              <w:t>The ETD i.e. timing difference between ground-truth event and predicted event is illustrated in Figure 5.3.1-1:</w:t>
            </w:r>
          </w:p>
          <w:p w14:paraId="5DCFEAA6" w14:textId="77777777" w:rsidR="00BB5852" w:rsidRDefault="00BB5852" w:rsidP="00F061EE">
            <w:pPr>
              <w:ind w:left="568"/>
            </w:pPr>
            <w:r>
              <w:rPr>
                <w:rFonts w:eastAsia="Times New Roman"/>
                <w:noProof/>
              </w:rPr>
              <w:drawing>
                <wp:inline distT="0" distB="0" distL="0" distR="0" wp14:anchorId="128CCB49" wp14:editId="3E5F7235">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C69BD92" w14:textId="77777777" w:rsidR="00BB5852" w:rsidRDefault="00BB5852" w:rsidP="00F061EE">
            <w:pPr>
              <w:ind w:left="568"/>
              <w:rPr>
                <w:lang w:eastAsia="zh-CN"/>
              </w:rPr>
            </w:pPr>
            <w:r>
              <w:rPr>
                <w:rFonts w:hint="eastAsia"/>
                <w:lang w:eastAsia="zh-CN"/>
              </w:rPr>
              <w:t>Figure 5.3.1-1: illustration of ETD</w:t>
            </w:r>
          </w:p>
          <w:p w14:paraId="4F9A46A8" w14:textId="77777777" w:rsidR="00BB5852" w:rsidRDefault="00BB5852" w:rsidP="00F061EE">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3C63C42D" w14:textId="77777777" w:rsidR="00BB5852" w:rsidRDefault="00BB5852" w:rsidP="00BB5852">
      <w:pPr>
        <w:rPr>
          <w:lang w:val="en-US"/>
        </w:rPr>
      </w:pPr>
    </w:p>
    <w:p w14:paraId="7BE1707C" w14:textId="1484DD15" w:rsidR="00230E13" w:rsidRPr="00230E13" w:rsidRDefault="00230E13" w:rsidP="0003108C">
      <w:pPr>
        <w:jc w:val="both"/>
        <w:rPr>
          <w:lang w:val="en-US"/>
        </w:rPr>
      </w:pPr>
      <w:r w:rsidRPr="00230E13">
        <w:rPr>
          <w:lang w:val="en-US"/>
        </w:rPr>
        <w:lastRenderedPageBreak/>
        <w:t>Although the F1 score is an accepted metric in RAN2 for evaluating measurement event prediction performance, its testing and interpretation may present challenges due to several practical aspects.</w:t>
      </w:r>
    </w:p>
    <w:p w14:paraId="6A36105F" w14:textId="03040B5D" w:rsidR="00230E13" w:rsidRPr="00230E13" w:rsidRDefault="00230E13" w:rsidP="0003108C">
      <w:pPr>
        <w:jc w:val="both"/>
        <w:rPr>
          <w:lang w:val="en-US"/>
        </w:rPr>
      </w:pPr>
      <w:r w:rsidRPr="00230E13">
        <w:rPr>
          <w:lang w:val="en-US"/>
        </w:rPr>
        <w:t>One key consideration is the type of inference triggering used for measurement event prediction. Prediction may be performed either periodically or in an event-based manner. In the periodic case, the prediction is inferred at every 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5894902B" w14:textId="371EF1AA" w:rsidR="007E1E9B" w:rsidRDefault="00230E13" w:rsidP="0003108C">
      <w:pPr>
        <w:jc w:val="both"/>
        <w:rPr>
          <w:lang w:val="en-US"/>
        </w:rPr>
      </w:pPr>
      <w:r w:rsidRPr="00230E13">
        <w:rPr>
          <w:lang w:val="en-US"/>
        </w:rPr>
        <w:t>The choice between periodic and event-based prediction affects the timing and interpretation of performance counters, including the initialization of counters and the frequency of updates. In many cases, the starting point of the prediction 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 predictions begin only once the A3 entry condition is satisfied.</w:t>
      </w:r>
    </w:p>
    <w:p w14:paraId="49F6E5B1" w14:textId="38EA4F37" w:rsidR="002B5996" w:rsidRDefault="00A50A8E" w:rsidP="00914653">
      <w:pPr>
        <w:pStyle w:val="RAN4observation0"/>
        <w:rPr>
          <w:lang w:val="en-US"/>
        </w:rPr>
      </w:pPr>
      <w:bookmarkStart w:id="13" w:name="_Hlk206101393"/>
      <w:r w:rsidRPr="00A50A8E">
        <w:rPr>
          <w:lang w:val="en-US"/>
        </w:rPr>
        <w:t>The choice between periodic and event-based prediction affects the timing and interpretation of performance counters</w:t>
      </w:r>
      <w:r>
        <w:rPr>
          <w:lang w:val="en-US"/>
        </w:rPr>
        <w:t xml:space="preserve"> for F1 score metric.</w:t>
      </w:r>
    </w:p>
    <w:bookmarkEnd w:id="13"/>
    <w:p w14:paraId="578EAB13" w14:textId="005B3999" w:rsidR="00C83A97" w:rsidRPr="00C83A97" w:rsidRDefault="00C83A97" w:rsidP="00C83A97">
      <w:pPr>
        <w:jc w:val="both"/>
        <w:rPr>
          <w:lang w:val="en-US"/>
        </w:rPr>
      </w:pPr>
      <w:r w:rsidRPr="00C83A97">
        <w:rPr>
          <w:lang w:val="en-US"/>
        </w:rPr>
        <w:t xml:space="preserve">From a network perspective, </w:t>
      </w:r>
      <w:r w:rsidRPr="00C83A97">
        <w:rPr>
          <w:b/>
          <w:bCs/>
          <w:lang w:val="en-US"/>
        </w:rPr>
        <w:t>false event detections</w:t>
      </w:r>
      <w:r w:rsidRPr="00C83A97">
        <w:rPr>
          <w:lang w:val="en-US"/>
        </w:rPr>
        <w:t xml:space="preserve"> are generally more detrimental than </w:t>
      </w:r>
      <w:r w:rsidRPr="00C83A97">
        <w:rPr>
          <w:b/>
          <w:bCs/>
          <w:lang w:val="en-US"/>
        </w:rPr>
        <w:t>missed event detections</w:t>
      </w:r>
      <w:r w:rsidRPr="00C83A97">
        <w:rPr>
          <w:lang w:val="en-US"/>
        </w:rPr>
        <w:t xml:space="preserve">. A false event detection can trigger unnecessary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w:t>
      </w:r>
      <w:r w:rsidR="001F7D53" w:rsidRPr="00C83A97">
        <w:rPr>
          <w:lang w:val="en-US"/>
        </w:rPr>
        <w:t>impact on</w:t>
      </w:r>
      <w:r w:rsidRPr="00C83A97">
        <w:rPr>
          <w:lang w:val="en-US"/>
        </w:rPr>
        <w:t xml:space="preserve"> other users if the reserved resources block more urgent sessions.</w:t>
      </w:r>
    </w:p>
    <w:p w14:paraId="1745EA8C" w14:textId="7AEA9797" w:rsidR="00C83A97" w:rsidRPr="00C83A97" w:rsidRDefault="00C83A97" w:rsidP="00C83A97">
      <w:pPr>
        <w:jc w:val="both"/>
        <w:rPr>
          <w:lang w:val="en-US"/>
        </w:rPr>
      </w:pPr>
      <w:r w:rsidRPr="00C83A97">
        <w:rPr>
          <w:lang w:val="en-US"/>
        </w:rPr>
        <w:t xml:space="preserve">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w:t>
      </w:r>
      <w:r w:rsidR="00127419">
        <w:rPr>
          <w:lang w:val="en-US"/>
        </w:rPr>
        <w:t>(or similar performance as in legacy)</w:t>
      </w:r>
      <w:r w:rsidRPr="00C83A97">
        <w:rPr>
          <w:lang w:val="en-US"/>
        </w:rPr>
        <w:t xml:space="preserve"> rather than wasted resources.</w:t>
      </w:r>
    </w:p>
    <w:p w14:paraId="7043ACE3" w14:textId="77777777" w:rsidR="00C83A97" w:rsidRPr="00C83A97" w:rsidRDefault="00C83A97" w:rsidP="00C83A97">
      <w:pPr>
        <w:jc w:val="both"/>
        <w:rPr>
          <w:lang w:val="en-US"/>
        </w:rPr>
      </w:pPr>
      <w:r w:rsidRPr="00C83A97">
        <w:rPr>
          <w:lang w:val="en-US"/>
        </w:rPr>
        <w:t xml:space="preserve">Because the </w:t>
      </w:r>
      <w:r w:rsidRPr="00C83A97">
        <w:rPr>
          <w:b/>
          <w:bCs/>
          <w:lang w:val="en-US"/>
        </w:rPr>
        <w:t>F1 score</w:t>
      </w:r>
      <w:r w:rsidRPr="00C83A97">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3C1714F2" w14:textId="649BF064" w:rsidR="002B5996" w:rsidRPr="00635C56" w:rsidRDefault="00FD280E" w:rsidP="00635C56">
      <w:pPr>
        <w:pStyle w:val="RAN4observation0"/>
        <w:jc w:val="both"/>
        <w:rPr>
          <w:lang w:val="en-US"/>
        </w:rPr>
      </w:pPr>
      <w:bookmarkStart w:id="14" w:name="_Hlk206101415"/>
      <w:r w:rsidRPr="00FD280E">
        <w:t xml:space="preserve">From a network perspective, false event detections are generally more detrimental than missed event detections. However, this asymmetry in impact is </w:t>
      </w:r>
      <w:r w:rsidRPr="00FD280E">
        <w:rPr>
          <w:b/>
          <w:bCs/>
        </w:rPr>
        <w:t>not</w:t>
      </w:r>
      <w:r w:rsidRPr="00FD280E">
        <w:t xml:space="preserve"> reflected in the F1 score calculation, as the metric assigns equal weight to precision and recall.</w:t>
      </w:r>
    </w:p>
    <w:bookmarkEnd w:id="14"/>
    <w:p w14:paraId="5E74F048" w14:textId="7BB3CEF2" w:rsidR="00BB5852" w:rsidRPr="0046380D" w:rsidRDefault="00BB5852" w:rsidP="0003108C">
      <w:pPr>
        <w:jc w:val="both"/>
        <w:rPr>
          <w:lang w:val="en-US"/>
        </w:rPr>
      </w:pPr>
      <w:r w:rsidRPr="0046380D">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073A69F0" w14:textId="77777777" w:rsidR="00BB5852" w:rsidRDefault="00BB5852" w:rsidP="0003108C">
      <w:pPr>
        <w:jc w:val="both"/>
        <w:rPr>
          <w:lang w:val="en-US"/>
        </w:rPr>
      </w:pPr>
      <w:r w:rsidRPr="005C725D">
        <w:rPr>
          <w:lang w:val="en-US"/>
        </w:rPr>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66FECD7D" w14:textId="77777777" w:rsidR="00BB5852" w:rsidRPr="005C725D" w:rsidRDefault="00BB5852" w:rsidP="00BB5852">
      <w:pPr>
        <w:pStyle w:val="RAN4observation0"/>
        <w:rPr>
          <w:lang w:val="en-US"/>
        </w:rPr>
      </w:pPr>
      <w:bookmarkStart w:id="15" w:name="_Hlk197700652"/>
      <w:r>
        <w:rPr>
          <w:lang w:val="en-US"/>
        </w:rPr>
        <w:t xml:space="preserve">Testing the </w:t>
      </w:r>
      <w:r w:rsidRPr="00690055">
        <w:rPr>
          <w:lang w:val="en-US"/>
        </w:rPr>
        <w:t xml:space="preserve">UE </w:t>
      </w:r>
      <w:r>
        <w:rPr>
          <w:lang w:val="en-US"/>
        </w:rPr>
        <w:t>with</w:t>
      </w:r>
      <w:r w:rsidRPr="00690055">
        <w:rPr>
          <w:lang w:val="en-US"/>
        </w:rPr>
        <w:t xml:space="preserve"> F1 score</w:t>
      </w:r>
      <w:r>
        <w:rPr>
          <w:lang w:val="en-US"/>
        </w:rPr>
        <w:t xml:space="preserve"> as the metric</w:t>
      </w:r>
      <w:r w:rsidRPr="00690055">
        <w:rPr>
          <w:lang w:val="en-US"/>
        </w:rPr>
        <w:t xml:space="preserve"> for A3 measurement event prediction is challenging due to significant testing overhead. </w:t>
      </w:r>
    </w:p>
    <w:p w14:paraId="72E4398F" w14:textId="77777777" w:rsidR="00BB6DDD" w:rsidRDefault="00BB6DDD" w:rsidP="00BB6DDD">
      <w:pPr>
        <w:rPr>
          <w:lang w:val="en-US"/>
        </w:rPr>
      </w:pPr>
      <w:bookmarkStart w:id="16" w:name="_Hlk197700676"/>
      <w:bookmarkEnd w:id="15"/>
    </w:p>
    <w:p w14:paraId="3958905C" w14:textId="77777777" w:rsidR="00FC6C2A" w:rsidRDefault="00FC6C2A" w:rsidP="00BB6DDD">
      <w:pPr>
        <w:rPr>
          <w:lang w:val="en-US"/>
        </w:rPr>
      </w:pPr>
    </w:p>
    <w:p w14:paraId="1FE09B4F" w14:textId="58EAB9AE" w:rsidR="00FC6C2A" w:rsidRPr="00BB6DDD" w:rsidRDefault="00FC6C2A" w:rsidP="00E60F53">
      <w:pPr>
        <w:pStyle w:val="RAN4H2"/>
        <w:rPr>
          <w:lang w:val="en-US"/>
        </w:rPr>
      </w:pPr>
      <w:r w:rsidRPr="00FC6C2A">
        <w:rPr>
          <w:lang w:val="en-US"/>
        </w:rPr>
        <w:lastRenderedPageBreak/>
        <w:t>RAN</w:t>
      </w:r>
      <w:r>
        <w:rPr>
          <w:lang w:val="en-US"/>
        </w:rPr>
        <w:t>4</w:t>
      </w:r>
      <w:r w:rsidRPr="00FC6C2A">
        <w:rPr>
          <w:lang w:val="en-US"/>
        </w:rPr>
        <w:t xml:space="preserve"> Performance Metric </w:t>
      </w:r>
      <w:r>
        <w:rPr>
          <w:lang w:val="en-US"/>
        </w:rPr>
        <w:t xml:space="preserve">and Requirements </w:t>
      </w:r>
      <w:r w:rsidRPr="00FC6C2A">
        <w:rPr>
          <w:lang w:val="en-US"/>
        </w:rPr>
        <w:t>for Indirect Measurement Event Prediction</w:t>
      </w:r>
    </w:p>
    <w:bookmarkEnd w:id="16"/>
    <w:p w14:paraId="7A3A6A81" w14:textId="30303C3E" w:rsidR="008227DE" w:rsidRDefault="008227DE" w:rsidP="000B1FCA">
      <w:pPr>
        <w:jc w:val="both"/>
        <w:rPr>
          <w:lang w:val="en-US"/>
        </w:rPr>
      </w:pPr>
      <w:r w:rsidRPr="008227DE">
        <w:rPr>
          <w:lang w:val="en-US"/>
        </w:rPr>
        <w:t xml:space="preserve">Based on TS 38.133, </w:t>
      </w:r>
      <w:r w:rsidRPr="00E60F53">
        <w:rPr>
          <w:u w:val="single"/>
          <w:lang w:val="en-US"/>
        </w:rPr>
        <w:t>for event reporting based on pure measurement</w:t>
      </w:r>
      <w:r w:rsidRPr="008227DE">
        <w:rPr>
          <w:lang w:val="en-US"/>
        </w:rPr>
        <w:t>,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17121C86" w14:textId="22B37598" w:rsidR="00BB5852" w:rsidRDefault="00BB5852" w:rsidP="00BB5852">
      <w:pPr>
        <w:jc w:val="both"/>
        <w:rPr>
          <w:lang w:val="en-US"/>
        </w:rPr>
      </w:pPr>
      <w:r>
        <w:rPr>
          <w:lang w:val="en-US"/>
        </w:rPr>
        <w:t>F</w:t>
      </w:r>
      <w:r w:rsidRPr="00307261">
        <w:rPr>
          <w:lang w:val="en-US"/>
        </w:rPr>
        <w:t>or a measurement event prediction</w:t>
      </w:r>
      <w:r>
        <w:rPr>
          <w:lang w:val="en-US"/>
        </w:rPr>
        <w:t xml:space="preserve"> with</w:t>
      </w:r>
      <w:r w:rsidRPr="00FA4C12">
        <w:t xml:space="preserve"> </w:t>
      </w:r>
      <w:r w:rsidRPr="00FA4C12">
        <w:rPr>
          <w:lang w:val="en-US"/>
        </w:rPr>
        <w:t>time domain case A</w:t>
      </w:r>
      <w:r>
        <w:rPr>
          <w:lang w:val="en-US"/>
        </w:rPr>
        <w:t xml:space="preserve"> which is</w:t>
      </w:r>
      <w:r w:rsidRPr="00307261">
        <w:rPr>
          <w:lang w:val="en-US"/>
        </w:rPr>
        <w:t xml:space="preserve"> use</w:t>
      </w:r>
      <w:r>
        <w:rPr>
          <w:lang w:val="en-US"/>
        </w:rPr>
        <w:t>d</w:t>
      </w:r>
      <w:r w:rsidRPr="00307261">
        <w:rPr>
          <w:lang w:val="en-US"/>
        </w:rPr>
        <w:t xml:space="preserve"> in mobility optimization</w:t>
      </w:r>
      <w:r w:rsidRPr="00621049">
        <w:t xml:space="preserve"> </w:t>
      </w:r>
      <w:r w:rsidRPr="00621049">
        <w:rPr>
          <w:lang w:val="en-US"/>
        </w:rPr>
        <w:t>predicting A3 events ahead of the actual ground-truth trigger is often desirable</w:t>
      </w:r>
      <w:r w:rsidRPr="00307261">
        <w:rPr>
          <w:lang w:val="en-US"/>
        </w:rPr>
        <w:t xml:space="preserve">. </w:t>
      </w:r>
      <w:r w:rsidRPr="00621049">
        <w:rPr>
          <w:lang w:val="en-US"/>
        </w:rPr>
        <w:t xml:space="preserve">An early prediction allows the network to preemptively prepare target cells, reduce HO latency, and improve user experience during mobility. However, the standard F1 </w:t>
      </w:r>
      <w:r w:rsidR="003C0F91">
        <w:rPr>
          <w:lang w:val="en-US"/>
        </w:rPr>
        <w:t xml:space="preserve">score </w:t>
      </w:r>
      <w:r w:rsidRPr="00621049">
        <w:rPr>
          <w:lang w:val="en-US"/>
        </w:rPr>
        <w:t xml:space="preserve">evaluation does not differentiate between early and late predictions. It treats a prediction occurring before the ground-truth event the same as one occurring after—despite their vastly different operational impact. </w:t>
      </w:r>
      <w:proofErr w:type="gramStart"/>
      <w:r w:rsidRPr="00621049">
        <w:rPr>
          <w:lang w:val="en-US"/>
        </w:rPr>
        <w:t>In reality, a</w:t>
      </w:r>
      <w:proofErr w:type="gramEnd"/>
      <w:r w:rsidRPr="00621049">
        <w:rPr>
          <w:lang w:val="en-US"/>
        </w:rPr>
        <w:t xml:space="preserve"> late A3 prediction may lead to HO failure or interruption, whereas an early one enhances robustness. </w:t>
      </w:r>
    </w:p>
    <w:p w14:paraId="2CDD040B" w14:textId="77777777" w:rsidR="00BB5852" w:rsidRDefault="00BB5852" w:rsidP="00623D65">
      <w:pPr>
        <w:pStyle w:val="RAN4observation0"/>
        <w:jc w:val="both"/>
        <w:rPr>
          <w:lang w:val="en-US"/>
        </w:rPr>
      </w:pPr>
      <w:bookmarkStart w:id="17" w:name="_Hlk197700691"/>
      <w:r w:rsidRPr="00933620">
        <w:rPr>
          <w:lang w:val="en-US"/>
        </w:rPr>
        <w:t>For a measurement event prediction with time domain case A which is used in mobility optimization predicting A3 events ahead of the actual ground-truth trigger is often desirable</w:t>
      </w:r>
      <w:r>
        <w:rPr>
          <w:lang w:val="en-US"/>
        </w:rPr>
        <w:t>.</w:t>
      </w:r>
    </w:p>
    <w:bookmarkEnd w:id="17"/>
    <w:p w14:paraId="73B97919" w14:textId="77777777" w:rsidR="00BB5852" w:rsidRDefault="00BB5852" w:rsidP="00623D65">
      <w:pPr>
        <w:jc w:val="both"/>
        <w:rPr>
          <w:lang w:val="en-US"/>
        </w:rPr>
      </w:pPr>
      <w:r w:rsidRPr="00E30A85">
        <w:rPr>
          <w:lang w:val="en-US"/>
        </w:rPr>
        <w:t xml:space="preserve">For the time domain case </w:t>
      </w:r>
      <w:r>
        <w:rPr>
          <w:lang w:val="en-US"/>
        </w:rPr>
        <w:t>B</w:t>
      </w:r>
      <w:r w:rsidRPr="00E30A85">
        <w:rPr>
          <w:lang w:val="en-US"/>
        </w:rPr>
        <w:t xml:space="preserve"> measurement event prediction evaluation, </w:t>
      </w:r>
      <w:r>
        <w:rPr>
          <w:lang w:val="en-US"/>
        </w:rPr>
        <w:t>as the gain is in measurement reduction, it is expected the UE to predict the event within a short prediction window. So, it seems possible to define a same performance metric for both temporal domain case A and B, with difference performance values and consider case specific requirements.</w:t>
      </w:r>
    </w:p>
    <w:p w14:paraId="444E569A" w14:textId="633C7172" w:rsidR="00DC6D61" w:rsidRPr="000B1FCA" w:rsidRDefault="00DC6D61" w:rsidP="00E60F53">
      <w:pPr>
        <w:pStyle w:val="RAN4observation0"/>
        <w:rPr>
          <w:lang w:val="en-US"/>
        </w:rPr>
      </w:pPr>
      <w:bookmarkStart w:id="18" w:name="_Hlk206101491"/>
      <w:r w:rsidRPr="00DC6D61">
        <w:rPr>
          <w:lang w:val="en-US"/>
        </w:rPr>
        <w:t>For the time domain case B measurement event prediction, a similar performance metric definition as that of temporal domain case A</w:t>
      </w:r>
      <w:r>
        <w:rPr>
          <w:lang w:val="en-US"/>
        </w:rPr>
        <w:t>.</w:t>
      </w:r>
    </w:p>
    <w:p w14:paraId="2C4D94CB" w14:textId="305B6B5C" w:rsidR="006E5C72" w:rsidRDefault="006E5C72" w:rsidP="006F0BAB">
      <w:pPr>
        <w:pStyle w:val="NormalWeb"/>
        <w:jc w:val="both"/>
        <w:rPr>
          <w:sz w:val="22"/>
          <w:szCs w:val="22"/>
        </w:rPr>
      </w:pPr>
      <w:bookmarkStart w:id="19" w:name="_Hlk197700738"/>
      <w:bookmarkEnd w:id="18"/>
      <w:r w:rsidRPr="00AC7EA8">
        <w:rPr>
          <w:sz w:val="20"/>
          <w:szCs w:val="20"/>
        </w:rPr>
        <w:t xml:space="preserve">Based on the above discussions regarding the requirements and performance metrics for AI/ML-based indirect </w:t>
      </w:r>
      <w:r w:rsidRPr="00F22578">
        <w:rPr>
          <w:sz w:val="20"/>
          <w:szCs w:val="20"/>
        </w:rPr>
        <w:t>measurement event prediction, the following KPIs may be considered for evaluation. The choice between time-domain Case A and Case B may impose different performance requirements due to the distinct objectives and constraints of each approach.</w:t>
      </w:r>
      <w:r w:rsidR="006F0BAB" w:rsidRPr="00F22578">
        <w:rPr>
          <w:sz w:val="20"/>
          <w:szCs w:val="20"/>
        </w:rPr>
        <w:t xml:space="preserve"> </w:t>
      </w:r>
      <w:r w:rsidR="005B5CB2" w:rsidRPr="004A4C64">
        <w:rPr>
          <w:sz w:val="20"/>
          <w:szCs w:val="20"/>
        </w:rPr>
        <w:t xml:space="preserve">As detailed in Figure </w:t>
      </w:r>
      <w:r w:rsidR="00704E2F" w:rsidRPr="004A4C64">
        <w:rPr>
          <w:sz w:val="20"/>
          <w:szCs w:val="20"/>
        </w:rPr>
        <w:t>4, t</w:t>
      </w:r>
      <w:r w:rsidRPr="004A4C64">
        <w:rPr>
          <w:sz w:val="20"/>
          <w:szCs w:val="20"/>
        </w:rPr>
        <w:t>he following KPIs are identified as relevant for indirect measurement event prediction:</w:t>
      </w:r>
    </w:p>
    <w:p w14:paraId="3992F6B3" w14:textId="77777777" w:rsidR="00D60235" w:rsidRPr="00D60235" w:rsidRDefault="00D60235" w:rsidP="00D60235">
      <w:pPr>
        <w:pStyle w:val="NormalWeb"/>
        <w:jc w:val="both"/>
        <w:rPr>
          <w:sz w:val="22"/>
        </w:rPr>
      </w:pPr>
    </w:p>
    <w:p w14:paraId="560EF19D" w14:textId="77777777" w:rsidR="00D60235" w:rsidRPr="00D60235" w:rsidRDefault="00D60235" w:rsidP="00D60235">
      <w:pPr>
        <w:pStyle w:val="NormalWeb"/>
        <w:jc w:val="both"/>
        <w:rPr>
          <w:sz w:val="22"/>
        </w:rPr>
      </w:pPr>
    </w:p>
    <w:p w14:paraId="165803E8" w14:textId="77777777" w:rsidR="00D60235" w:rsidRPr="00D60235" w:rsidRDefault="00D60235" w:rsidP="00D60235">
      <w:pPr>
        <w:pStyle w:val="NormalWeb"/>
        <w:jc w:val="both"/>
        <w:rPr>
          <w:sz w:val="22"/>
        </w:rPr>
      </w:pPr>
    </w:p>
    <w:p w14:paraId="499A9606" w14:textId="77777777" w:rsidR="00D60235" w:rsidRPr="00D60235" w:rsidRDefault="00D60235" w:rsidP="00D60235">
      <w:pPr>
        <w:pStyle w:val="NormalWeb"/>
        <w:jc w:val="both"/>
        <w:rPr>
          <w:sz w:val="22"/>
          <w:lang w:val="en-GB"/>
        </w:rPr>
      </w:pPr>
      <w:r w:rsidRPr="00D60235">
        <w:rPr>
          <w:noProof/>
          <w:sz w:val="22"/>
          <w:lang w:val="en-GB"/>
        </w:rPr>
        <w:lastRenderedPageBreak/>
        <w:drawing>
          <wp:inline distT="0" distB="0" distL="0" distR="0" wp14:anchorId="0789F910" wp14:editId="532483DF">
            <wp:extent cx="6113145" cy="3946525"/>
            <wp:effectExtent l="0" t="0" r="1905" b="0"/>
            <wp:docPr id="73127299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7"/>
                    <a:stretch>
                      <a:fillRect/>
                    </a:stretch>
                  </pic:blipFill>
                  <pic:spPr>
                    <a:xfrm>
                      <a:off x="0" y="0"/>
                      <a:ext cx="6113145" cy="3946525"/>
                    </a:xfrm>
                    <a:prstGeom prst="rect">
                      <a:avLst/>
                    </a:prstGeom>
                  </pic:spPr>
                </pic:pic>
              </a:graphicData>
            </a:graphic>
          </wp:inline>
        </w:drawing>
      </w:r>
    </w:p>
    <w:p w14:paraId="4A7A4D9A" w14:textId="77777777" w:rsidR="00D60235" w:rsidRPr="00D60235" w:rsidRDefault="00D60235" w:rsidP="00E60F53">
      <w:pPr>
        <w:pStyle w:val="NormalWeb"/>
        <w:jc w:val="center"/>
        <w:rPr>
          <w:i/>
          <w:iCs/>
          <w:sz w:val="22"/>
        </w:rPr>
      </w:pPr>
      <w:r w:rsidRPr="00D60235">
        <w:rPr>
          <w:i/>
          <w:iCs/>
          <w:sz w:val="22"/>
          <w:lang w:val="en-GB"/>
        </w:rPr>
        <w:t xml:space="preserve">Figure </w:t>
      </w:r>
      <w:r w:rsidRPr="00D60235">
        <w:rPr>
          <w:i/>
          <w:iCs/>
          <w:sz w:val="22"/>
          <w:lang w:val="en-GB"/>
        </w:rPr>
        <w:fldChar w:fldCharType="begin"/>
      </w:r>
      <w:r w:rsidRPr="00D60235">
        <w:rPr>
          <w:i/>
          <w:iCs/>
          <w:sz w:val="22"/>
          <w:lang w:val="en-GB"/>
        </w:rPr>
        <w:instrText xml:space="preserve"> SEQ Figure \* ARABIC </w:instrText>
      </w:r>
      <w:r w:rsidRPr="00D60235">
        <w:rPr>
          <w:i/>
          <w:iCs/>
          <w:sz w:val="22"/>
          <w:lang w:val="en-GB"/>
        </w:rPr>
        <w:fldChar w:fldCharType="separate"/>
      </w:r>
      <w:r w:rsidRPr="00D60235">
        <w:rPr>
          <w:i/>
          <w:iCs/>
          <w:sz w:val="22"/>
          <w:lang w:val="en-GB"/>
        </w:rPr>
        <w:t>4</w:t>
      </w:r>
      <w:r w:rsidRPr="00D60235">
        <w:rPr>
          <w:sz w:val="22"/>
        </w:rPr>
        <w:fldChar w:fldCharType="end"/>
      </w:r>
      <w:r w:rsidRPr="00D60235">
        <w:rPr>
          <w:i/>
          <w:iCs/>
          <w:sz w:val="22"/>
          <w:lang w:val="en-GB"/>
        </w:rPr>
        <w:t>: Indirect measurement event prediction</w:t>
      </w:r>
    </w:p>
    <w:p w14:paraId="50FFFC96" w14:textId="77777777" w:rsidR="00D60235" w:rsidRPr="00D60235" w:rsidRDefault="00D60235" w:rsidP="00D60235">
      <w:pPr>
        <w:pStyle w:val="NormalWeb"/>
        <w:jc w:val="both"/>
        <w:rPr>
          <w:sz w:val="22"/>
        </w:rPr>
      </w:pPr>
    </w:p>
    <w:p w14:paraId="68E6F3C3" w14:textId="77777777" w:rsidR="00D60235" w:rsidRPr="00E60F53" w:rsidRDefault="00D60235" w:rsidP="00E60F53">
      <w:pPr>
        <w:pStyle w:val="NormalWeb"/>
        <w:jc w:val="both"/>
        <w:rPr>
          <w:sz w:val="20"/>
          <w:szCs w:val="20"/>
        </w:rPr>
      </w:pPr>
    </w:p>
    <w:p w14:paraId="521FE023" w14:textId="12EF40DE" w:rsidR="006E5C72" w:rsidRPr="00E60F53" w:rsidRDefault="006E5C72" w:rsidP="006E5C72">
      <w:pPr>
        <w:pStyle w:val="NormalWeb"/>
        <w:numPr>
          <w:ilvl w:val="0"/>
          <w:numId w:val="16"/>
        </w:numPr>
        <w:rPr>
          <w:sz w:val="20"/>
          <w:szCs w:val="20"/>
        </w:rPr>
      </w:pPr>
      <w:r w:rsidRPr="00E60F53">
        <w:rPr>
          <w:rStyle w:val="Strong"/>
          <w:sz w:val="20"/>
          <w:szCs w:val="20"/>
        </w:rPr>
        <w:t>Event Prediction Window (Prediction Horizon):</w:t>
      </w:r>
      <w:r w:rsidRPr="00E60F53">
        <w:rPr>
          <w:sz w:val="20"/>
          <w:szCs w:val="20"/>
        </w:rPr>
        <w:t xml:space="preserve"> Refers to the future time interval within which the UE predicts the entry and/or exit conditions of a configured measurement event (e.g., A3). </w:t>
      </w:r>
      <w:r w:rsidR="00F47846" w:rsidRPr="00E60F53">
        <w:rPr>
          <w:sz w:val="20"/>
          <w:szCs w:val="20"/>
        </w:rPr>
        <w:t xml:space="preserve">For time domain Case </w:t>
      </w:r>
      <w:proofErr w:type="gramStart"/>
      <w:r w:rsidR="00F47846" w:rsidRPr="00E60F53">
        <w:rPr>
          <w:sz w:val="20"/>
          <w:szCs w:val="20"/>
        </w:rPr>
        <w:t>A</w:t>
      </w:r>
      <w:proofErr w:type="gramEnd"/>
      <w:r w:rsidR="00F47846" w:rsidRPr="00E60F53">
        <w:rPr>
          <w:sz w:val="20"/>
          <w:szCs w:val="20"/>
        </w:rPr>
        <w:t xml:space="preserve"> </w:t>
      </w:r>
      <w:r w:rsidR="00BF10BD" w:rsidRPr="00E60F53">
        <w:rPr>
          <w:sz w:val="20"/>
          <w:szCs w:val="20"/>
        </w:rPr>
        <w:t xml:space="preserve">the prediction window is considered as multiple measurement samples </w:t>
      </w:r>
      <w:r w:rsidR="009D2E63" w:rsidRPr="00E60F53">
        <w:rPr>
          <w:sz w:val="20"/>
          <w:szCs w:val="20"/>
        </w:rPr>
        <w:t xml:space="preserve">(close to </w:t>
      </w:r>
      <w:r w:rsidR="00E7082F" w:rsidRPr="00E60F53">
        <w:rPr>
          <w:sz w:val="20"/>
          <w:szCs w:val="20"/>
        </w:rPr>
        <w:t>measurement prediction</w:t>
      </w:r>
      <w:r w:rsidR="000E443C" w:rsidRPr="00E60F53">
        <w:rPr>
          <w:sz w:val="20"/>
          <w:szCs w:val="20"/>
        </w:rPr>
        <w:t xml:space="preserve"> Case A prediction window</w:t>
      </w:r>
      <w:r w:rsidR="009D2E63" w:rsidRPr="00E60F53">
        <w:rPr>
          <w:sz w:val="20"/>
          <w:szCs w:val="20"/>
        </w:rPr>
        <w:t>)</w:t>
      </w:r>
      <w:r w:rsidR="006A7118" w:rsidRPr="00E60F53">
        <w:rPr>
          <w:sz w:val="20"/>
          <w:szCs w:val="20"/>
        </w:rPr>
        <w:t xml:space="preserve"> and </w:t>
      </w:r>
      <w:r w:rsidR="00651C0D" w:rsidRPr="00E60F53">
        <w:rPr>
          <w:sz w:val="20"/>
          <w:szCs w:val="20"/>
        </w:rPr>
        <w:t xml:space="preserve">shorter or no lead time for </w:t>
      </w:r>
      <w:r w:rsidR="00062047" w:rsidRPr="00E60F53">
        <w:rPr>
          <w:sz w:val="20"/>
          <w:szCs w:val="20"/>
        </w:rPr>
        <w:t>Case-B where</w:t>
      </w:r>
      <w:r w:rsidR="00651C0D" w:rsidRPr="00E60F53">
        <w:rPr>
          <w:sz w:val="20"/>
          <w:szCs w:val="20"/>
        </w:rPr>
        <w:t xml:space="preserve"> prediction is closely aligned to the event occurrence.</w:t>
      </w:r>
    </w:p>
    <w:p w14:paraId="4C0D96F9" w14:textId="77777777" w:rsidR="006E5C72" w:rsidRPr="00E60F53" w:rsidRDefault="006E5C72" w:rsidP="00E854E1">
      <w:pPr>
        <w:pStyle w:val="NormalWeb"/>
        <w:ind w:left="720"/>
        <w:rPr>
          <w:sz w:val="20"/>
          <w:szCs w:val="20"/>
        </w:rPr>
      </w:pPr>
    </w:p>
    <w:p w14:paraId="5F554789" w14:textId="77777777" w:rsidR="006E5C72" w:rsidRPr="00E60F53" w:rsidRDefault="006E5C72" w:rsidP="006E5C72">
      <w:pPr>
        <w:pStyle w:val="NormalWeb"/>
        <w:numPr>
          <w:ilvl w:val="0"/>
          <w:numId w:val="16"/>
        </w:numPr>
        <w:rPr>
          <w:sz w:val="20"/>
          <w:szCs w:val="20"/>
        </w:rPr>
      </w:pPr>
      <w:r w:rsidRPr="00E60F53">
        <w:rPr>
          <w:rStyle w:val="Strong"/>
          <w:sz w:val="20"/>
          <w:szCs w:val="20"/>
        </w:rPr>
        <w:t>Event Prediction Accuracy:</w:t>
      </w:r>
      <w:r w:rsidRPr="00E60F53">
        <w:rPr>
          <w:sz w:val="20"/>
          <w:szCs w:val="20"/>
        </w:rPr>
        <w:t xml:space="preserve"> Captures both the correctness of the predicted outcome and the alignment in time between the predicted and actual event occurrence. It consists of two components:</w:t>
      </w:r>
    </w:p>
    <w:p w14:paraId="65A64290" w14:textId="7F982D7B" w:rsidR="006E5C72" w:rsidRPr="00E60F53" w:rsidRDefault="006E5C72" w:rsidP="00E60F53">
      <w:pPr>
        <w:pStyle w:val="ListParagraph"/>
        <w:numPr>
          <w:ilvl w:val="1"/>
          <w:numId w:val="16"/>
        </w:numPr>
        <w:rPr>
          <w:rFonts w:eastAsia="Times New Roman" w:cs="Times New Roman"/>
          <w:szCs w:val="20"/>
          <w:lang w:val="en-US"/>
        </w:rPr>
      </w:pPr>
      <w:r w:rsidRPr="00E60F53">
        <w:rPr>
          <w:rStyle w:val="Emphasis"/>
          <w:szCs w:val="20"/>
        </w:rPr>
        <w:t>Outcome Accuracy:</w:t>
      </w:r>
      <w:r w:rsidRPr="00E60F53">
        <w:rPr>
          <w:szCs w:val="20"/>
        </w:rPr>
        <w:t xml:space="preserve"> </w:t>
      </w:r>
      <w:r w:rsidR="00157A61" w:rsidRPr="00E60F53">
        <w:rPr>
          <w:szCs w:val="20"/>
        </w:rPr>
        <w:t xml:space="preserve">whether the prediction correctly identifies event occurrence or non-occurrence. From a network perspective, false event detections are generally more detrimental than missed detections. </w:t>
      </w:r>
      <w:proofErr w:type="gramStart"/>
      <w:r w:rsidR="002C02EC" w:rsidRPr="00E60F53">
        <w:rPr>
          <w:szCs w:val="20"/>
        </w:rPr>
        <w:t>S</w:t>
      </w:r>
      <w:r w:rsidR="00157A61" w:rsidRPr="00E60F53">
        <w:rPr>
          <w:szCs w:val="20"/>
        </w:rPr>
        <w:t>o</w:t>
      </w:r>
      <w:proofErr w:type="gramEnd"/>
      <w:r w:rsidR="00157A61" w:rsidRPr="00E60F53">
        <w:rPr>
          <w:szCs w:val="20"/>
        </w:rPr>
        <w:t xml:space="preserve"> outcome accuracy should be calculated with weighting that reflects this operational asymmetry.</w:t>
      </w:r>
    </w:p>
    <w:p w14:paraId="36546874" w14:textId="0C6A3E28" w:rsidR="006E5C72" w:rsidRPr="00E60F53" w:rsidRDefault="006E5C72" w:rsidP="006E5C72">
      <w:pPr>
        <w:pStyle w:val="NormalWeb"/>
        <w:numPr>
          <w:ilvl w:val="1"/>
          <w:numId w:val="16"/>
        </w:numPr>
        <w:rPr>
          <w:sz w:val="20"/>
          <w:szCs w:val="20"/>
        </w:rPr>
      </w:pPr>
      <w:r w:rsidRPr="00E60F53">
        <w:rPr>
          <w:rStyle w:val="Emphasis"/>
          <w:sz w:val="20"/>
          <w:szCs w:val="20"/>
        </w:rPr>
        <w:t>Temporal Accuracy:</w:t>
      </w:r>
      <w:r w:rsidRPr="00E60F53">
        <w:rPr>
          <w:sz w:val="20"/>
          <w:szCs w:val="20"/>
        </w:rPr>
        <w:t xml:space="preserve"> Measures how closely the predicted event occurrence time matches the actual event time, within a defined tolerance.</w:t>
      </w:r>
    </w:p>
    <w:p w14:paraId="797A295B" w14:textId="77777777" w:rsidR="006E5C72" w:rsidRPr="00E60F53" w:rsidRDefault="006E5C72" w:rsidP="00E854E1">
      <w:pPr>
        <w:pStyle w:val="NormalWeb"/>
        <w:ind w:left="1440"/>
        <w:rPr>
          <w:sz w:val="20"/>
          <w:szCs w:val="20"/>
        </w:rPr>
      </w:pPr>
    </w:p>
    <w:p w14:paraId="60809949" w14:textId="2E0AD76F" w:rsidR="00BE13F0" w:rsidRPr="00E60F53" w:rsidRDefault="006E5C72" w:rsidP="006E5C72">
      <w:pPr>
        <w:pStyle w:val="NormalWeb"/>
        <w:numPr>
          <w:ilvl w:val="0"/>
          <w:numId w:val="16"/>
        </w:numPr>
        <w:rPr>
          <w:sz w:val="20"/>
          <w:szCs w:val="20"/>
        </w:rPr>
      </w:pPr>
      <w:r w:rsidRPr="00E60F53">
        <w:rPr>
          <w:rStyle w:val="Strong"/>
          <w:sz w:val="20"/>
          <w:szCs w:val="20"/>
        </w:rPr>
        <w:t>Event Prediction Reporting</w:t>
      </w:r>
      <w:r w:rsidR="006C49B7" w:rsidRPr="00E60F53">
        <w:rPr>
          <w:rStyle w:val="Strong"/>
          <w:sz w:val="20"/>
          <w:szCs w:val="20"/>
        </w:rPr>
        <w:t>/Inference</w:t>
      </w:r>
      <w:r w:rsidRPr="00E60F53">
        <w:rPr>
          <w:rStyle w:val="Strong"/>
          <w:sz w:val="20"/>
          <w:szCs w:val="20"/>
        </w:rPr>
        <w:t xml:space="preserve"> Delay:</w:t>
      </w:r>
      <w:r w:rsidRPr="00E60F53">
        <w:rPr>
          <w:sz w:val="20"/>
          <w:szCs w:val="20"/>
        </w:rPr>
        <w:t xml:space="preserve"> Defined as the time interval between the point at which the UE </w:t>
      </w:r>
      <w:proofErr w:type="gramStart"/>
      <w:r w:rsidR="00030EA9" w:rsidRPr="00E60F53">
        <w:rPr>
          <w:sz w:val="20"/>
          <w:szCs w:val="20"/>
        </w:rPr>
        <w:t>initiate</w:t>
      </w:r>
      <w:proofErr w:type="gramEnd"/>
      <w:r w:rsidR="00030EA9" w:rsidRPr="00E60F53">
        <w:rPr>
          <w:sz w:val="20"/>
          <w:szCs w:val="20"/>
        </w:rPr>
        <w:t xml:space="preserve"> the </w:t>
      </w:r>
      <w:r w:rsidR="005F6FFA" w:rsidRPr="00E60F53">
        <w:rPr>
          <w:sz w:val="20"/>
          <w:szCs w:val="20"/>
        </w:rPr>
        <w:t xml:space="preserve">event </w:t>
      </w:r>
      <w:r w:rsidR="00314FBC" w:rsidRPr="00E60F53">
        <w:rPr>
          <w:sz w:val="20"/>
          <w:szCs w:val="20"/>
        </w:rPr>
        <w:t>prediction</w:t>
      </w:r>
      <w:r w:rsidRPr="00E60F53">
        <w:rPr>
          <w:sz w:val="20"/>
          <w:szCs w:val="20"/>
        </w:rPr>
        <w:t xml:space="preserve"> and the point at which the UE transmits the corresponding event prediction report over the air interface.</w:t>
      </w:r>
    </w:p>
    <w:p w14:paraId="18610C17" w14:textId="77777777" w:rsidR="006E5C72" w:rsidRPr="00E60F53" w:rsidRDefault="006E5C72" w:rsidP="00E60F53">
      <w:pPr>
        <w:pStyle w:val="NormalWeb"/>
        <w:ind w:left="360"/>
        <w:rPr>
          <w:sz w:val="20"/>
          <w:szCs w:val="20"/>
        </w:rPr>
      </w:pPr>
    </w:p>
    <w:p w14:paraId="0031C610" w14:textId="768AD4FC" w:rsidR="006E5C72" w:rsidRPr="00E60F53" w:rsidRDefault="006E5C72" w:rsidP="006E5C72">
      <w:pPr>
        <w:pStyle w:val="NormalWeb"/>
        <w:numPr>
          <w:ilvl w:val="0"/>
          <w:numId w:val="16"/>
        </w:numPr>
        <w:rPr>
          <w:sz w:val="20"/>
          <w:szCs w:val="20"/>
        </w:rPr>
      </w:pPr>
      <w:r w:rsidRPr="00E60F53">
        <w:rPr>
          <w:rStyle w:val="Strong"/>
          <w:sz w:val="20"/>
          <w:szCs w:val="20"/>
        </w:rPr>
        <w:lastRenderedPageBreak/>
        <w:t>Event Prediction Reporting RSRP Accuracy:</w:t>
      </w:r>
      <w:r w:rsidRPr="00E60F53">
        <w:rPr>
          <w:sz w:val="20"/>
          <w:szCs w:val="20"/>
        </w:rPr>
        <w:t xml:space="preserve"> Refers to the accuracy of the reported </w:t>
      </w:r>
      <w:r w:rsidR="00002ACB" w:rsidRPr="00E60F53">
        <w:rPr>
          <w:sz w:val="20"/>
          <w:szCs w:val="20"/>
        </w:rPr>
        <w:t xml:space="preserve">relative /absolute </w:t>
      </w:r>
      <w:r w:rsidRPr="00E60F53">
        <w:rPr>
          <w:sz w:val="20"/>
          <w:szCs w:val="20"/>
        </w:rPr>
        <w:t xml:space="preserve">predicted RSRP values associated with the event, compared to </w:t>
      </w:r>
      <w:r w:rsidR="00002ACB" w:rsidRPr="00E60F53">
        <w:rPr>
          <w:sz w:val="20"/>
          <w:szCs w:val="20"/>
        </w:rPr>
        <w:t>ground truth value.</w:t>
      </w:r>
    </w:p>
    <w:p w14:paraId="5B5DBC22" w14:textId="77777777" w:rsidR="006E5C72" w:rsidRPr="00E60F53" w:rsidRDefault="006E5C72" w:rsidP="00E854E1">
      <w:pPr>
        <w:pStyle w:val="NormalWeb"/>
        <w:ind w:left="720"/>
        <w:rPr>
          <w:sz w:val="20"/>
          <w:szCs w:val="20"/>
        </w:rPr>
      </w:pPr>
    </w:p>
    <w:p w14:paraId="1087FD2D" w14:textId="30B2F4D0" w:rsidR="006E5C72" w:rsidRPr="00E60F53" w:rsidRDefault="006E5C72" w:rsidP="006E5C72">
      <w:pPr>
        <w:pStyle w:val="NormalWeb"/>
        <w:numPr>
          <w:ilvl w:val="0"/>
          <w:numId w:val="16"/>
        </w:numPr>
        <w:rPr>
          <w:sz w:val="20"/>
          <w:szCs w:val="20"/>
        </w:rPr>
      </w:pPr>
      <w:r w:rsidRPr="00E60F53">
        <w:rPr>
          <w:rStyle w:val="Strong"/>
          <w:sz w:val="20"/>
          <w:szCs w:val="20"/>
        </w:rPr>
        <w:t>Number of Cells/SSBs for which Prediction is Supported:</w:t>
      </w:r>
      <w:r w:rsidRPr="00E60F53">
        <w:rPr>
          <w:sz w:val="20"/>
          <w:szCs w:val="20"/>
        </w:rPr>
        <w:t xml:space="preserve"> Indicates the capability of the UE to simultaneously predict measurement events for multiple cells or SSBs. </w:t>
      </w:r>
    </w:p>
    <w:p w14:paraId="1B4D5E16" w14:textId="77777777" w:rsidR="006E5C72" w:rsidRPr="00E60F53" w:rsidRDefault="006E5C72" w:rsidP="005376F3">
      <w:pPr>
        <w:rPr>
          <w:szCs w:val="20"/>
          <w:lang w:val="en-US"/>
        </w:rPr>
      </w:pPr>
    </w:p>
    <w:p w14:paraId="1AF35C00" w14:textId="19F8080E" w:rsidR="000250DD" w:rsidRDefault="009270E1" w:rsidP="000250DD">
      <w:pPr>
        <w:pStyle w:val="RAN4proposal"/>
        <w:rPr>
          <w:lang w:val="en-US"/>
        </w:rPr>
      </w:pPr>
      <w:bookmarkStart w:id="20" w:name="_Hlk206101529"/>
      <w:r w:rsidRPr="00E60F53">
        <w:rPr>
          <w:lang w:val="en-US"/>
        </w:rPr>
        <w:t>RAN4</w:t>
      </w:r>
      <w:r w:rsidR="00FD76E9">
        <w:rPr>
          <w:lang w:val="en-US"/>
        </w:rPr>
        <w:t xml:space="preserve"> to</w:t>
      </w:r>
      <w:r w:rsidRPr="00E60F53">
        <w:rPr>
          <w:lang w:val="en-US"/>
        </w:rPr>
        <w:t xml:space="preserve"> </w:t>
      </w:r>
      <w:r w:rsidR="00FD76E9" w:rsidRPr="00FD76E9">
        <w:rPr>
          <w:lang w:val="en-US"/>
        </w:rPr>
        <w:t>consider</w:t>
      </w:r>
      <w:r w:rsidRPr="00E60F53">
        <w:rPr>
          <w:lang w:val="en-US"/>
        </w:rPr>
        <w:t xml:space="preserve"> </w:t>
      </w:r>
      <w:proofErr w:type="gramStart"/>
      <w:r w:rsidR="00C8456F" w:rsidRPr="00E60F53">
        <w:rPr>
          <w:lang w:val="en-US"/>
        </w:rPr>
        <w:t>following</w:t>
      </w:r>
      <w:proofErr w:type="gramEnd"/>
      <w:r w:rsidRPr="00E60F53">
        <w:rPr>
          <w:lang w:val="en-US"/>
        </w:rPr>
        <w:t xml:space="preserve"> </w:t>
      </w:r>
      <w:r w:rsidR="00C8456F" w:rsidRPr="00E60F53">
        <w:rPr>
          <w:lang w:val="en-US"/>
        </w:rPr>
        <w:t>performance metric</w:t>
      </w:r>
      <w:r w:rsidR="004A4C64">
        <w:rPr>
          <w:lang w:val="en-US"/>
        </w:rPr>
        <w:t>s</w:t>
      </w:r>
      <w:r w:rsidR="00C8456F" w:rsidRPr="00E60F53">
        <w:rPr>
          <w:lang w:val="en-US"/>
        </w:rPr>
        <w:t xml:space="preserve"> for indirect measurement event prediction.</w:t>
      </w:r>
    </w:p>
    <w:p w14:paraId="4831DAE8" w14:textId="6CE15128" w:rsidR="008A1543" w:rsidRPr="00E60F53" w:rsidRDefault="008A1543" w:rsidP="008A1543">
      <w:pPr>
        <w:pStyle w:val="RAN4proposal"/>
        <w:numPr>
          <w:ilvl w:val="0"/>
          <w:numId w:val="16"/>
        </w:numPr>
        <w:rPr>
          <w:szCs w:val="20"/>
          <w:lang w:val="en-US"/>
        </w:rPr>
      </w:pPr>
      <w:r w:rsidRPr="00E60F53">
        <w:rPr>
          <w:bCs/>
          <w:szCs w:val="20"/>
          <w:lang w:val="en-US"/>
        </w:rPr>
        <w:t>Event Prediction Accuracy:</w:t>
      </w:r>
      <w:r w:rsidRPr="00E60F53">
        <w:rPr>
          <w:szCs w:val="20"/>
          <w:lang w:val="en-US"/>
        </w:rPr>
        <w:t xml:space="preserve"> Captures both the correctness of the predicted outcome and the alignment in time between the predicted and actual event occurrence. It consists of two components:</w:t>
      </w:r>
    </w:p>
    <w:p w14:paraId="3BA7E3AD" w14:textId="7852B1C2" w:rsidR="008A1543" w:rsidRPr="00E60F53" w:rsidRDefault="008A1543" w:rsidP="008A1543">
      <w:pPr>
        <w:pStyle w:val="RAN4proposal"/>
        <w:numPr>
          <w:ilvl w:val="1"/>
          <w:numId w:val="16"/>
        </w:numPr>
        <w:rPr>
          <w:szCs w:val="20"/>
          <w:lang w:val="en-US"/>
        </w:rPr>
      </w:pPr>
      <w:r w:rsidRPr="00E60F53">
        <w:rPr>
          <w:i/>
          <w:szCs w:val="20"/>
        </w:rPr>
        <w:t>Outcome Accuracy:</w:t>
      </w:r>
      <w:r w:rsidRPr="00E60F53">
        <w:rPr>
          <w:szCs w:val="20"/>
        </w:rPr>
        <w:t xml:space="preserve"> whether the prediction correctly identifies event occurrence or non-occurrence. </w:t>
      </w:r>
    </w:p>
    <w:p w14:paraId="6128CDAD" w14:textId="02C8F5FB" w:rsidR="008A1543" w:rsidRPr="00E60F53" w:rsidRDefault="008A1543" w:rsidP="00E60F53">
      <w:pPr>
        <w:pStyle w:val="RAN4proposal"/>
        <w:numPr>
          <w:ilvl w:val="1"/>
          <w:numId w:val="16"/>
        </w:numPr>
        <w:rPr>
          <w:szCs w:val="20"/>
          <w:lang w:val="en-US"/>
        </w:rPr>
      </w:pPr>
      <w:r w:rsidRPr="00E60F53">
        <w:rPr>
          <w:i/>
          <w:szCs w:val="20"/>
          <w:lang w:val="en-US"/>
        </w:rPr>
        <w:t>Temporal Accuracy:</w:t>
      </w:r>
      <w:r w:rsidRPr="00E60F53">
        <w:rPr>
          <w:szCs w:val="20"/>
          <w:lang w:val="en-US"/>
        </w:rPr>
        <w:t xml:space="preserve"> Measures how closely the predicted event occurrence time matches the actual event time, within a defined tolerance.</w:t>
      </w:r>
    </w:p>
    <w:p w14:paraId="28927397" w14:textId="0136762F" w:rsidR="008A1543" w:rsidRDefault="008A1543" w:rsidP="00E60F53">
      <w:pPr>
        <w:pStyle w:val="RAN4proposal"/>
        <w:numPr>
          <w:ilvl w:val="0"/>
          <w:numId w:val="16"/>
        </w:numPr>
        <w:rPr>
          <w:szCs w:val="20"/>
          <w:lang w:val="en-US"/>
        </w:rPr>
      </w:pPr>
      <w:r w:rsidRPr="00E60F53">
        <w:rPr>
          <w:bCs/>
          <w:szCs w:val="20"/>
          <w:lang w:val="en-US"/>
        </w:rPr>
        <w:t>Event Prediction Reporting RSRP Accuracy:</w:t>
      </w:r>
      <w:r w:rsidRPr="00E60F53">
        <w:rPr>
          <w:szCs w:val="20"/>
          <w:lang w:val="en-US"/>
        </w:rPr>
        <w:t xml:space="preserve"> Refers to the accuracy of the reported relative /absolute predicted RSRP values associated with the event, compared to ground truth value.</w:t>
      </w:r>
    </w:p>
    <w:bookmarkEnd w:id="20"/>
    <w:p w14:paraId="18A1D614" w14:textId="77777777" w:rsidR="00AD1190" w:rsidRPr="00AD1190" w:rsidRDefault="00AD1190" w:rsidP="00AD1190">
      <w:pPr>
        <w:rPr>
          <w:lang w:val="en-US"/>
        </w:rPr>
      </w:pPr>
    </w:p>
    <w:p w14:paraId="202F9C95" w14:textId="126F4BE4" w:rsidR="000467F6" w:rsidRPr="004A4C64" w:rsidRDefault="00ED3479" w:rsidP="000467F6">
      <w:pPr>
        <w:pStyle w:val="RAN4proposal"/>
        <w:rPr>
          <w:lang w:val="en-US"/>
        </w:rPr>
      </w:pPr>
      <w:bookmarkStart w:id="21" w:name="_Hlk206101679"/>
      <w:r w:rsidRPr="00ED3479">
        <w:rPr>
          <w:lang w:val="en-US"/>
        </w:rPr>
        <w:t xml:space="preserve">RAN4 to consider following </w:t>
      </w:r>
      <w:r w:rsidR="00940E93">
        <w:rPr>
          <w:lang w:val="en-US"/>
        </w:rPr>
        <w:t>configurations</w:t>
      </w:r>
      <w:r w:rsidRPr="00ED3479">
        <w:rPr>
          <w:lang w:val="en-US"/>
        </w:rPr>
        <w:t xml:space="preserve"> for indirect measurement event prediction</w:t>
      </w:r>
      <w:r w:rsidR="00940E93">
        <w:rPr>
          <w:lang w:val="en-US"/>
        </w:rPr>
        <w:t xml:space="preserve"> requirements</w:t>
      </w:r>
    </w:p>
    <w:p w14:paraId="5D96B95F" w14:textId="77777777" w:rsidR="000467F6" w:rsidRDefault="000467F6" w:rsidP="000467F6">
      <w:pPr>
        <w:pStyle w:val="RAN4proposal"/>
        <w:numPr>
          <w:ilvl w:val="0"/>
          <w:numId w:val="16"/>
        </w:numPr>
        <w:rPr>
          <w:szCs w:val="20"/>
        </w:rPr>
      </w:pPr>
      <w:r w:rsidRPr="00E60F53">
        <w:rPr>
          <w:szCs w:val="20"/>
          <w:lang w:val="en-US"/>
        </w:rPr>
        <w:t xml:space="preserve"> </w:t>
      </w:r>
      <w:r w:rsidRPr="00E60F53">
        <w:rPr>
          <w:bCs/>
          <w:szCs w:val="20"/>
        </w:rPr>
        <w:t>Event Prediction Window (Prediction Horizon):</w:t>
      </w:r>
      <w:r w:rsidRPr="00E60F53">
        <w:rPr>
          <w:szCs w:val="20"/>
        </w:rPr>
        <w:t xml:space="preserve"> Refers to the future time interval within which the UE predicts the entry and/or exit conditions of a configured measurement event (e.g., A3).</w:t>
      </w:r>
    </w:p>
    <w:p w14:paraId="3BAF5C41" w14:textId="77777777" w:rsidR="00767E53" w:rsidRDefault="00767E53" w:rsidP="00767E53">
      <w:pPr>
        <w:pStyle w:val="RAN4proposal"/>
        <w:numPr>
          <w:ilvl w:val="0"/>
          <w:numId w:val="16"/>
        </w:numPr>
        <w:rPr>
          <w:szCs w:val="20"/>
          <w:lang w:val="en-US"/>
        </w:rPr>
      </w:pPr>
      <w:r w:rsidRPr="00E60F53">
        <w:rPr>
          <w:bCs/>
          <w:szCs w:val="20"/>
          <w:lang w:val="en-US"/>
        </w:rPr>
        <w:t>Event Prediction Reporting/Inference Delay:</w:t>
      </w:r>
      <w:r w:rsidRPr="00E60F53">
        <w:rPr>
          <w:szCs w:val="20"/>
          <w:lang w:val="en-US"/>
        </w:rPr>
        <w:t xml:space="preserve"> Defined as the time interval between the point at which the UE </w:t>
      </w:r>
      <w:proofErr w:type="gramStart"/>
      <w:r w:rsidRPr="00E60F53">
        <w:rPr>
          <w:szCs w:val="20"/>
          <w:lang w:val="en-US"/>
        </w:rPr>
        <w:t>initiate</w:t>
      </w:r>
      <w:proofErr w:type="gramEnd"/>
      <w:r w:rsidRPr="00E60F53">
        <w:rPr>
          <w:szCs w:val="20"/>
          <w:lang w:val="en-US"/>
        </w:rPr>
        <w:t xml:space="preserve"> the event prediction and the point at which the UE transmits the corresponding event prediction report over the air interface.</w:t>
      </w:r>
    </w:p>
    <w:p w14:paraId="72C92FA2" w14:textId="604FF5B9" w:rsidR="0035123D" w:rsidRPr="00940E93" w:rsidRDefault="00925BBC" w:rsidP="00940E93">
      <w:pPr>
        <w:numPr>
          <w:ilvl w:val="0"/>
          <w:numId w:val="16"/>
        </w:numPr>
        <w:rPr>
          <w:b/>
          <w:iCs/>
          <w:lang w:val="en-US"/>
        </w:rPr>
      </w:pPr>
      <w:r w:rsidRPr="00925BBC">
        <w:rPr>
          <w:b/>
          <w:bCs/>
          <w:iCs/>
          <w:lang w:val="en-US"/>
        </w:rPr>
        <w:t>Number of Cells/SSBs for which Prediction is Supported:</w:t>
      </w:r>
      <w:r w:rsidRPr="00925BBC">
        <w:rPr>
          <w:b/>
          <w:iCs/>
          <w:lang w:val="en-US"/>
        </w:rPr>
        <w:t xml:space="preserve"> Indicates the capability of the UE to simultaneously predict measurement events for multiple cells or SSBs. </w:t>
      </w:r>
      <w:bookmarkEnd w:id="21"/>
    </w:p>
    <w:p w14:paraId="64CB52BE" w14:textId="77777777" w:rsidR="00982422" w:rsidRPr="00990952" w:rsidRDefault="00982422" w:rsidP="00990952">
      <w:pPr>
        <w:rPr>
          <w:lang w:val="en-US"/>
        </w:rPr>
      </w:pPr>
    </w:p>
    <w:bookmarkEnd w:id="19"/>
    <w:p w14:paraId="11D2CD84" w14:textId="3AF69207" w:rsidR="00954308" w:rsidRDefault="00177A97" w:rsidP="001C1761">
      <w:pPr>
        <w:pStyle w:val="RAN4H2"/>
        <w:rPr>
          <w:lang w:val="en-US"/>
        </w:rPr>
      </w:pPr>
      <w:r>
        <w:rPr>
          <w:lang w:val="en-US"/>
        </w:rPr>
        <w:t>Measurement Reporting</w:t>
      </w:r>
    </w:p>
    <w:p w14:paraId="59E13614" w14:textId="77777777" w:rsidR="00C46DEA" w:rsidRDefault="00C46DEA" w:rsidP="00B3637C">
      <w:pPr>
        <w:rPr>
          <w:lang w:val="en-US"/>
        </w:rPr>
      </w:pPr>
    </w:p>
    <w:p w14:paraId="7C83B6E6" w14:textId="4EEF4212" w:rsidR="00C46DEA" w:rsidRPr="00A27D3C" w:rsidRDefault="00C46DEA" w:rsidP="00C46DEA">
      <w:pPr>
        <w:rPr>
          <w:lang w:val="en-US"/>
        </w:rPr>
      </w:pPr>
      <w:r>
        <w:rPr>
          <w:lang w:val="en-US"/>
        </w:rPr>
        <w:t xml:space="preserve">Regarding </w:t>
      </w:r>
      <w:r w:rsidR="008F4F75">
        <w:rPr>
          <w:lang w:val="en-US"/>
        </w:rPr>
        <w:t>measurement reporting</w:t>
      </w:r>
      <w:r>
        <w:rPr>
          <w:lang w:val="en-US"/>
        </w:rPr>
        <w:t xml:space="preserve"> for event prediction, following agreements have been achieved in </w:t>
      </w:r>
      <w:r w:rsidRPr="0049308B">
        <w:rPr>
          <w:lang w:val="en-US"/>
        </w:rPr>
        <w:t>RAN4#115</w:t>
      </w:r>
      <w:r w:rsidR="008F4F75">
        <w:rPr>
          <w:lang w:val="en-US"/>
        </w:rPr>
        <w:t>.</w:t>
      </w:r>
      <w:r w:rsidRPr="005660EC">
        <w:rPr>
          <w:lang w:val="en-US"/>
        </w:rPr>
        <w:t xml:space="preserve"> </w:t>
      </w:r>
    </w:p>
    <w:tbl>
      <w:tblPr>
        <w:tblStyle w:val="TableGrid"/>
        <w:tblW w:w="0" w:type="auto"/>
        <w:tblLook w:val="04A0" w:firstRow="1" w:lastRow="0" w:firstColumn="1" w:lastColumn="0" w:noHBand="0" w:noVBand="1"/>
      </w:tblPr>
      <w:tblGrid>
        <w:gridCol w:w="9617"/>
      </w:tblGrid>
      <w:tr w:rsidR="00C46DEA" w14:paraId="06869FD6" w14:textId="77777777" w:rsidTr="003C60F0">
        <w:tc>
          <w:tcPr>
            <w:tcW w:w="9617" w:type="dxa"/>
          </w:tcPr>
          <w:p w14:paraId="640C9109" w14:textId="77777777" w:rsidR="00C46DEA" w:rsidRDefault="00C46DEA" w:rsidP="003C60F0">
            <w:pPr>
              <w:pStyle w:val="paragraph"/>
              <w:spacing w:before="0" w:beforeAutospacing="0" w:after="0" w:afterAutospacing="0"/>
              <w:textAlignment w:val="baseline"/>
              <w:rPr>
                <w:rStyle w:val="normaltextrun"/>
                <w:b/>
                <w:bCs/>
                <w:color w:val="000000"/>
                <w:position w:val="-1"/>
                <w:sz w:val="20"/>
                <w:szCs w:val="20"/>
              </w:rPr>
            </w:pPr>
            <w:r w:rsidRPr="005660EC">
              <w:rPr>
                <w:rStyle w:val="normaltextrun"/>
                <w:b/>
                <w:bCs/>
                <w:color w:val="000000"/>
                <w:position w:val="-1"/>
                <w:sz w:val="20"/>
                <w:szCs w:val="20"/>
              </w:rPr>
              <w:t>RAN4#</w:t>
            </w:r>
            <w:proofErr w:type="gramStart"/>
            <w:r w:rsidRPr="005660EC">
              <w:rPr>
                <w:rStyle w:val="normaltextrun"/>
                <w:b/>
                <w:bCs/>
                <w:color w:val="000000"/>
                <w:position w:val="-1"/>
                <w:sz w:val="20"/>
                <w:szCs w:val="20"/>
              </w:rPr>
              <w:t>115</w:t>
            </w:r>
            <w:r>
              <w:rPr>
                <w:rStyle w:val="normaltextrun"/>
                <w:b/>
                <w:bCs/>
                <w:color w:val="000000"/>
                <w:position w:val="-1"/>
                <w:sz w:val="20"/>
                <w:szCs w:val="20"/>
              </w:rPr>
              <w:t>;</w:t>
            </w:r>
            <w:proofErr w:type="gramEnd"/>
          </w:p>
          <w:p w14:paraId="5124ED4C" w14:textId="77777777" w:rsidR="00C46DEA" w:rsidRDefault="00C46DEA" w:rsidP="003C60F0">
            <w:pPr>
              <w:pStyle w:val="paragraph"/>
              <w:spacing w:before="0" w:beforeAutospacing="0" w:after="0" w:afterAutospacing="0"/>
              <w:textAlignment w:val="baseline"/>
              <w:rPr>
                <w:rFonts w:ascii="Segoe UI" w:hAnsi="Segoe UI" w:cs="Segoe UI"/>
                <w:sz w:val="18"/>
                <w:szCs w:val="18"/>
              </w:rPr>
            </w:pPr>
            <w:r>
              <w:rPr>
                <w:rStyle w:val="normaltextrun"/>
                <w:b/>
                <w:bCs/>
                <w:color w:val="000000"/>
                <w:position w:val="-1"/>
                <w:sz w:val="20"/>
                <w:szCs w:val="20"/>
              </w:rPr>
              <w:t>Agreement:</w:t>
            </w:r>
            <w:r>
              <w:rPr>
                <w:rStyle w:val="eop"/>
                <w:sz w:val="20"/>
                <w:szCs w:val="20"/>
              </w:rPr>
              <w:t>​</w:t>
            </w:r>
          </w:p>
          <w:p w14:paraId="10B04D16" w14:textId="77777777" w:rsidR="00C46DEA" w:rsidRDefault="00C46DEA" w:rsidP="003C60F0">
            <w:pPr>
              <w:pStyle w:val="paragraph"/>
              <w:spacing w:before="0" w:beforeAutospacing="0" w:after="0" w:afterAutospacing="0"/>
              <w:textAlignment w:val="baseline"/>
              <w:rPr>
                <w:rFonts w:ascii="Segoe UI" w:hAnsi="Segoe UI" w:cs="Segoe UI"/>
                <w:sz w:val="18"/>
                <w:szCs w:val="18"/>
              </w:rPr>
            </w:pPr>
            <w:r>
              <w:rPr>
                <w:rStyle w:val="normaltextrun"/>
                <w:color w:val="000000"/>
                <w:position w:val="-1"/>
                <w:sz w:val="20"/>
                <w:szCs w:val="20"/>
              </w:rPr>
              <w:t xml:space="preserve">In case of indirect measurement event prediction use case, if the report includes the predicted RSRPs [corresponding to the predicted event occurrence time], RAN4 will define requirement for the absolute and/or relative accuracy of predicted RSRP. </w:t>
            </w:r>
          </w:p>
          <w:p w14:paraId="5689FB9D" w14:textId="77777777" w:rsidR="00C46DEA" w:rsidRDefault="00C46DEA" w:rsidP="003C60F0">
            <w:pPr>
              <w:rPr>
                <w:lang w:val="en-US"/>
              </w:rPr>
            </w:pPr>
          </w:p>
        </w:tc>
      </w:tr>
    </w:tbl>
    <w:p w14:paraId="19E23289" w14:textId="77777777" w:rsidR="00C46DEA" w:rsidRDefault="00C46DEA" w:rsidP="00B3637C">
      <w:pPr>
        <w:rPr>
          <w:lang w:val="en-US"/>
        </w:rPr>
      </w:pPr>
    </w:p>
    <w:p w14:paraId="4DDEC60B" w14:textId="77777777" w:rsidR="00E801DE" w:rsidRDefault="00E801DE" w:rsidP="00E801DE">
      <w:pPr>
        <w:jc w:val="both"/>
        <w:rPr>
          <w:lang w:val="en-US"/>
        </w:rPr>
      </w:pPr>
      <w:r w:rsidRPr="000622CC">
        <w:rPr>
          <w:lang w:val="en-US"/>
        </w:rPr>
        <w:t>According to 3GPP TS 38.133, the accuracy requirements for RSRP measurements reported in event-triggered measurement reports are aligned with those specified for periodic measurement reporting. Specifically, the same accuracy definitions and tolerances apply to both reporting modes, ensuring consistency across different measurement procedures. These requirements are detailed in Clause 10.1.2.1 for Frequency Range 1 (FR1) and Clause 10.1.3.1 for Frequency Range 2 (FR2)</w:t>
      </w:r>
      <w:r>
        <w:rPr>
          <w:lang w:val="en-US"/>
        </w:rPr>
        <w:t xml:space="preserve">. </w:t>
      </w:r>
    </w:p>
    <w:p w14:paraId="469F0431" w14:textId="547A4BD4" w:rsidR="007D3720" w:rsidRPr="007D3720" w:rsidRDefault="007D3720" w:rsidP="00E60F53">
      <w:pPr>
        <w:numPr>
          <w:ilvl w:val="0"/>
          <w:numId w:val="2"/>
        </w:numPr>
        <w:rPr>
          <w:lang w:val="en-US"/>
        </w:rPr>
      </w:pPr>
      <w:bookmarkStart w:id="22" w:name="_Hlk206101717"/>
      <w:r w:rsidRPr="00B3637C">
        <w:rPr>
          <w:lang w:val="en-US"/>
        </w:rPr>
        <w:t>Similar accuracy definition and requirements have been considered for Even-based measurement reporting and periodic measurement in TS 38.133.</w:t>
      </w:r>
    </w:p>
    <w:bookmarkEnd w:id="22"/>
    <w:p w14:paraId="76606D3C" w14:textId="77777777" w:rsidR="00E801DE" w:rsidRDefault="00E801DE" w:rsidP="00E801DE">
      <w:pPr>
        <w:jc w:val="both"/>
        <w:rPr>
          <w:lang w:val="en-US"/>
        </w:rPr>
      </w:pPr>
      <w:r w:rsidRPr="00D963EE">
        <w:rPr>
          <w:lang w:val="en-US"/>
        </w:rPr>
        <w:lastRenderedPageBreak/>
        <w:t xml:space="preserve">For event-based temporal domain measurement reporting based on indirect event prediction, it is proposed that accuracy requirements </w:t>
      </w:r>
      <w:proofErr w:type="gramStart"/>
      <w:r w:rsidRPr="00D963EE">
        <w:rPr>
          <w:lang w:val="en-US"/>
        </w:rPr>
        <w:t>similar to</w:t>
      </w:r>
      <w:proofErr w:type="gramEnd"/>
      <w:r w:rsidRPr="00D963EE">
        <w:rPr>
          <w:lang w:val="en-US"/>
        </w:rPr>
        <w:t xml:space="preserve"> those already defined</w:t>
      </w:r>
      <w:r>
        <w:rPr>
          <w:lang w:val="en-US"/>
        </w:rPr>
        <w:t>/under definition</w:t>
      </w:r>
      <w:r w:rsidRPr="00D963EE">
        <w:rPr>
          <w:lang w:val="en-US"/>
        </w:rPr>
        <w:t xml:space="preserve"> for measurement prediction be adopted. At this stage, there appears to be no need for defining additional or separate accuracy specifications beyond what is considered for predicted measurements. It should also be recognized that the applicable tolerance or accuracy levels for predicted measurements in such scenarios may be influenced by several key factors, including length of the observation window used for collecting measurements, the duration of the prediction window over which the event or measurement is forecasted, etc.</w:t>
      </w:r>
    </w:p>
    <w:p w14:paraId="1C399DC3" w14:textId="40A3D395" w:rsidR="00E801DE" w:rsidRPr="00131334" w:rsidRDefault="00E801DE" w:rsidP="00131334">
      <w:pPr>
        <w:pStyle w:val="RAN4proposal"/>
        <w:rPr>
          <w:lang w:val="en-US"/>
        </w:rPr>
      </w:pPr>
      <w:bookmarkStart w:id="23" w:name="_Hlk206101746"/>
      <w:r>
        <w:rPr>
          <w:lang w:val="en-US"/>
        </w:rPr>
        <w:t xml:space="preserve">For </w:t>
      </w:r>
      <w:r w:rsidRPr="00C24229">
        <w:rPr>
          <w:lang w:val="en-US"/>
        </w:rPr>
        <w:t xml:space="preserve">indirect measurement event prediction use case, </w:t>
      </w:r>
      <w:r>
        <w:rPr>
          <w:lang w:val="en-US"/>
        </w:rPr>
        <w:t>for potential</w:t>
      </w:r>
      <w:r w:rsidRPr="00C24229">
        <w:rPr>
          <w:lang w:val="en-US"/>
        </w:rPr>
        <w:t xml:space="preserve"> report </w:t>
      </w:r>
      <w:r>
        <w:rPr>
          <w:lang w:val="en-US"/>
        </w:rPr>
        <w:t xml:space="preserve">that </w:t>
      </w:r>
      <w:r w:rsidRPr="00C24229">
        <w:rPr>
          <w:lang w:val="en-US"/>
        </w:rPr>
        <w:t>includes the predicted RSRPs</w:t>
      </w:r>
      <w:r>
        <w:rPr>
          <w:lang w:val="en-US"/>
        </w:rPr>
        <w:t>, RAN4 to assume a similar</w:t>
      </w:r>
      <w:r w:rsidRPr="003A58EC">
        <w:rPr>
          <w:lang w:val="en-US"/>
        </w:rPr>
        <w:t xml:space="preserve"> </w:t>
      </w:r>
      <w:r>
        <w:rPr>
          <w:lang w:val="en-US"/>
        </w:rPr>
        <w:t xml:space="preserve">RSRP </w:t>
      </w:r>
      <w:r w:rsidRPr="003A58EC">
        <w:rPr>
          <w:lang w:val="en-US"/>
        </w:rPr>
        <w:t xml:space="preserve">accuracy </w:t>
      </w:r>
      <w:r>
        <w:rPr>
          <w:lang w:val="en-US"/>
        </w:rPr>
        <w:t>definition</w:t>
      </w:r>
      <w:r w:rsidRPr="003A58EC">
        <w:rPr>
          <w:lang w:val="en-US"/>
        </w:rPr>
        <w:t xml:space="preserve"> considered for predicted measurements</w:t>
      </w:r>
      <w:r>
        <w:rPr>
          <w:lang w:val="en-US"/>
        </w:rPr>
        <w:t>. T</w:t>
      </w:r>
      <w:r w:rsidRPr="00BE277A">
        <w:rPr>
          <w:lang w:val="en-US"/>
        </w:rPr>
        <w:t>he applicable tolerance or accuracy levels may be influenced by several key factors, including length of the observation window, the duration of the prediction window, etc</w:t>
      </w:r>
      <w:r>
        <w:rPr>
          <w:lang w:val="en-US"/>
        </w:rPr>
        <w:t xml:space="preserve">. </w:t>
      </w:r>
    </w:p>
    <w:bookmarkEnd w:id="23"/>
    <w:p w14:paraId="322BFE6D" w14:textId="21093CCF" w:rsidR="007B7AD9" w:rsidRPr="00D635A8" w:rsidRDefault="007B7AD9" w:rsidP="00E854E1">
      <w:pPr>
        <w:pStyle w:val="RAN4proposal"/>
        <w:numPr>
          <w:ilvl w:val="0"/>
          <w:numId w:val="0"/>
        </w:numPr>
        <w:ind w:left="360"/>
        <w:rPr>
          <w:lang w:val="en-US"/>
        </w:rPr>
      </w:pPr>
    </w:p>
    <w:p w14:paraId="531FF1C9" w14:textId="77777777" w:rsidR="00CD7492" w:rsidRDefault="00CD7492" w:rsidP="00A37002">
      <w:pPr>
        <w:pStyle w:val="RAN4H1"/>
        <w:rPr>
          <w:lang w:val="en-US"/>
        </w:rPr>
      </w:pPr>
      <w:bookmarkStart w:id="24" w:name="_Toc116995848"/>
      <w:r w:rsidRPr="00614DD8">
        <w:rPr>
          <w:lang w:val="en-US"/>
        </w:rPr>
        <w:t>Conclusion</w:t>
      </w:r>
      <w:bookmarkEnd w:id="24"/>
    </w:p>
    <w:p w14:paraId="3880C04E" w14:textId="67F8DBA2" w:rsidR="00894B91" w:rsidRPr="00894B91" w:rsidRDefault="00894B91" w:rsidP="00131334">
      <w:pPr>
        <w:rPr>
          <w:lang w:val="en-US"/>
        </w:rPr>
      </w:pPr>
      <w:r w:rsidRPr="00894B91">
        <w:rPr>
          <w:lang w:val="en-US"/>
        </w:rPr>
        <w:t xml:space="preserve">In this paper we provide our view on the Rel-19 AI/ML mobility measurement event prediction scenario to be studied in RAN4 working group.  </w:t>
      </w:r>
    </w:p>
    <w:p w14:paraId="1F9F2300" w14:textId="3E5E4BAD" w:rsidR="006D2703" w:rsidRDefault="00894B91" w:rsidP="00894B91">
      <w:pPr>
        <w:rPr>
          <w:lang w:val="en-US"/>
        </w:rPr>
      </w:pPr>
      <w:r w:rsidRPr="00894B91">
        <w:rPr>
          <w:lang w:val="en-US"/>
        </w:rPr>
        <w:t>The following Observations and Proposals were made:</w:t>
      </w:r>
    </w:p>
    <w:p w14:paraId="1F2FEED2" w14:textId="77777777" w:rsidR="00940E93" w:rsidRPr="00D53F09" w:rsidRDefault="00940E93" w:rsidP="00940E93">
      <w:pPr>
        <w:rPr>
          <w:rFonts w:asciiTheme="majorBidi" w:hAnsiTheme="majorBidi" w:cstheme="majorBidi"/>
          <w:szCs w:val="20"/>
        </w:rPr>
      </w:pPr>
      <w:r w:rsidRPr="00D53F09">
        <w:rPr>
          <w:rFonts w:asciiTheme="majorBidi" w:hAnsiTheme="majorBidi" w:cstheme="majorBidi"/>
          <w:b/>
          <w:bCs/>
          <w:szCs w:val="20"/>
        </w:rPr>
        <w:t xml:space="preserve">Observation 1: </w:t>
      </w:r>
      <w:r w:rsidRPr="00D53F09">
        <w:rPr>
          <w:rFonts w:asciiTheme="majorBidi" w:hAnsiTheme="majorBidi" w:cstheme="majorBidi"/>
          <w:szCs w:val="20"/>
        </w:rPr>
        <w:t>The following scenarios have been considered in RAN2 for indirect measurement event prediction using temporal domain predictions: 1) Temporal domain Case A: The UE predicts a probable future measurement event, which may be used in mobility optimization decisions, but there is no measurement reduction. 2) Temporal domain Case B: The UE is predicting measurements for measurement reduction, which should not have significant impact on the mobility performance.</w:t>
      </w:r>
    </w:p>
    <w:p w14:paraId="0CE9A54A" w14:textId="77777777" w:rsidR="00940E93" w:rsidRDefault="00940E93" w:rsidP="00940E93">
      <w:pPr>
        <w:rPr>
          <w:rFonts w:asciiTheme="majorBidi" w:hAnsiTheme="majorBidi" w:cstheme="majorBidi"/>
          <w:b/>
          <w:bCs/>
          <w:szCs w:val="20"/>
        </w:rPr>
      </w:pPr>
      <w:r w:rsidRPr="00D53F09">
        <w:rPr>
          <w:rFonts w:asciiTheme="majorBidi" w:hAnsiTheme="majorBidi" w:cstheme="majorBidi"/>
          <w:b/>
          <w:bCs/>
          <w:szCs w:val="20"/>
        </w:rPr>
        <w:t xml:space="preserve">Observation 2: </w:t>
      </w:r>
      <w:r w:rsidRPr="00D53F09">
        <w:rPr>
          <w:rFonts w:asciiTheme="majorBidi" w:hAnsiTheme="majorBidi" w:cstheme="majorBidi"/>
          <w:szCs w:val="20"/>
        </w:rPr>
        <w:t>The choice between periodic and event-based prediction affects the timing and interpretation of performance counters for F1 score metric.</w:t>
      </w:r>
    </w:p>
    <w:p w14:paraId="7A76C7CB" w14:textId="77777777" w:rsidR="00940E93" w:rsidRDefault="00940E93" w:rsidP="00940E93">
      <w:pPr>
        <w:rPr>
          <w:rFonts w:asciiTheme="majorBidi" w:hAnsiTheme="majorBidi" w:cstheme="majorBidi"/>
          <w:b/>
          <w:bCs/>
          <w:szCs w:val="20"/>
        </w:rPr>
      </w:pPr>
      <w:r w:rsidRPr="00D53F09">
        <w:rPr>
          <w:rFonts w:asciiTheme="majorBidi" w:hAnsiTheme="majorBidi" w:cstheme="majorBidi"/>
          <w:b/>
          <w:bCs/>
          <w:szCs w:val="20"/>
        </w:rPr>
        <w:t xml:space="preserve">Observation 3: </w:t>
      </w:r>
      <w:r w:rsidRPr="00D53F09">
        <w:rPr>
          <w:rFonts w:asciiTheme="majorBidi" w:hAnsiTheme="majorBidi" w:cstheme="majorBidi"/>
          <w:szCs w:val="20"/>
        </w:rPr>
        <w:t>From a network perspective, false event detections are generally more detrimental than missed event detections. However, this asymmetry in impact is not reflected in the F1 score calculation, as the metric assigns equal weight to precision and recall.</w:t>
      </w:r>
    </w:p>
    <w:p w14:paraId="39DBB4A0" w14:textId="77777777" w:rsidR="00940E93" w:rsidRDefault="00940E93" w:rsidP="00940E93">
      <w:pPr>
        <w:rPr>
          <w:rFonts w:asciiTheme="majorBidi" w:hAnsiTheme="majorBidi" w:cstheme="majorBidi"/>
          <w:b/>
          <w:bCs/>
          <w:szCs w:val="20"/>
        </w:rPr>
      </w:pPr>
      <w:r w:rsidRPr="00D53F09">
        <w:rPr>
          <w:rFonts w:asciiTheme="majorBidi" w:hAnsiTheme="majorBidi" w:cstheme="majorBidi"/>
          <w:b/>
          <w:bCs/>
          <w:szCs w:val="20"/>
        </w:rPr>
        <w:t xml:space="preserve">Observation 4: </w:t>
      </w:r>
      <w:r w:rsidRPr="00D53F09">
        <w:rPr>
          <w:rFonts w:asciiTheme="majorBidi" w:hAnsiTheme="majorBidi" w:cstheme="majorBidi"/>
          <w:szCs w:val="20"/>
        </w:rPr>
        <w:t>Testing the UE with F1 score as the metric for A3 measurement event prediction is challenging due to significant testing overhead.</w:t>
      </w:r>
    </w:p>
    <w:p w14:paraId="3CAD3DF5" w14:textId="77777777" w:rsidR="00940E93" w:rsidRDefault="00940E93" w:rsidP="00940E93">
      <w:pPr>
        <w:rPr>
          <w:rFonts w:asciiTheme="majorBidi" w:hAnsiTheme="majorBidi" w:cstheme="majorBidi"/>
          <w:b/>
          <w:bCs/>
          <w:szCs w:val="20"/>
        </w:rPr>
      </w:pPr>
      <w:r w:rsidRPr="00D53F09">
        <w:rPr>
          <w:rFonts w:asciiTheme="majorBidi" w:hAnsiTheme="majorBidi" w:cstheme="majorBidi"/>
          <w:b/>
          <w:bCs/>
          <w:szCs w:val="20"/>
        </w:rPr>
        <w:t xml:space="preserve">Observation 5: </w:t>
      </w:r>
      <w:r w:rsidRPr="00D53F09">
        <w:rPr>
          <w:rFonts w:asciiTheme="majorBidi" w:hAnsiTheme="majorBidi" w:cstheme="majorBidi"/>
          <w:szCs w:val="20"/>
        </w:rPr>
        <w:t>For a measurement event prediction with time domain case A which is used in mobility optimization predicting A3 events ahead of the actual ground-truth trigger is often desirable.</w:t>
      </w:r>
    </w:p>
    <w:p w14:paraId="5D2EC60E" w14:textId="77777777" w:rsidR="00940E93" w:rsidRDefault="00940E93" w:rsidP="00940E93">
      <w:pPr>
        <w:rPr>
          <w:rFonts w:asciiTheme="majorBidi" w:hAnsiTheme="majorBidi" w:cstheme="majorBidi"/>
          <w:b/>
          <w:bCs/>
          <w:szCs w:val="20"/>
        </w:rPr>
      </w:pPr>
      <w:r w:rsidRPr="00D53F09">
        <w:rPr>
          <w:rFonts w:asciiTheme="majorBidi" w:hAnsiTheme="majorBidi" w:cstheme="majorBidi"/>
          <w:b/>
          <w:bCs/>
          <w:szCs w:val="20"/>
        </w:rPr>
        <w:t xml:space="preserve">Observation 6: </w:t>
      </w:r>
      <w:r w:rsidRPr="00D53F09">
        <w:rPr>
          <w:rFonts w:asciiTheme="majorBidi" w:hAnsiTheme="majorBidi" w:cstheme="majorBidi"/>
          <w:szCs w:val="20"/>
        </w:rPr>
        <w:t>For the time domain case B measurement event prediction, a similar performance metric definition as that of temporal domain case A.</w:t>
      </w:r>
    </w:p>
    <w:p w14:paraId="6670F00F" w14:textId="77777777" w:rsidR="00940E93" w:rsidRPr="00ED2614" w:rsidRDefault="00940E93" w:rsidP="00940E93">
      <w:pPr>
        <w:rPr>
          <w:rFonts w:asciiTheme="majorBidi" w:hAnsiTheme="majorBidi" w:cstheme="majorBidi"/>
          <w:b/>
          <w:bCs/>
          <w:szCs w:val="20"/>
        </w:rPr>
      </w:pPr>
      <w:r w:rsidRPr="00ED2614">
        <w:rPr>
          <w:rFonts w:asciiTheme="majorBidi" w:hAnsiTheme="majorBidi" w:cstheme="majorBidi"/>
          <w:b/>
          <w:bCs/>
          <w:szCs w:val="20"/>
        </w:rPr>
        <w:t>Proposal 1: RAN4 to consider following performance metrics for indirect measurement event prediction.</w:t>
      </w:r>
    </w:p>
    <w:p w14:paraId="15B65BA6" w14:textId="77777777" w:rsidR="00940E93" w:rsidRPr="00ED2614" w:rsidRDefault="00940E93" w:rsidP="00940E93">
      <w:pPr>
        <w:pStyle w:val="ListParagraph"/>
        <w:numPr>
          <w:ilvl w:val="0"/>
          <w:numId w:val="17"/>
        </w:numPr>
        <w:rPr>
          <w:rFonts w:asciiTheme="majorBidi" w:hAnsiTheme="majorBidi" w:cstheme="majorBidi"/>
          <w:b/>
          <w:bCs/>
          <w:szCs w:val="20"/>
        </w:rPr>
      </w:pPr>
      <w:r w:rsidRPr="00ED2614">
        <w:rPr>
          <w:rFonts w:asciiTheme="majorBidi" w:hAnsiTheme="majorBidi" w:cstheme="majorBidi"/>
          <w:b/>
          <w:bCs/>
          <w:szCs w:val="20"/>
        </w:rPr>
        <w:t>Event Prediction Accuracy: Captures both the correctness of the predicted outcome and the alignment in time between the predicted and actual event occurrence. It consists of two components:</w:t>
      </w:r>
    </w:p>
    <w:p w14:paraId="0FE6ADE0" w14:textId="77777777" w:rsidR="00940E93" w:rsidRPr="00ED2614" w:rsidRDefault="00940E93" w:rsidP="00940E93">
      <w:pPr>
        <w:pStyle w:val="ListParagraph"/>
        <w:numPr>
          <w:ilvl w:val="1"/>
          <w:numId w:val="17"/>
        </w:numPr>
        <w:rPr>
          <w:rFonts w:asciiTheme="majorBidi" w:hAnsiTheme="majorBidi" w:cstheme="majorBidi"/>
          <w:b/>
          <w:bCs/>
          <w:szCs w:val="20"/>
        </w:rPr>
      </w:pPr>
      <w:r w:rsidRPr="00ED2614">
        <w:rPr>
          <w:rFonts w:asciiTheme="majorBidi" w:hAnsiTheme="majorBidi" w:cstheme="majorBidi"/>
          <w:b/>
          <w:bCs/>
          <w:i/>
          <w:iCs/>
          <w:szCs w:val="20"/>
        </w:rPr>
        <w:t>Outcome Accuracy</w:t>
      </w:r>
      <w:r w:rsidRPr="00ED2614">
        <w:rPr>
          <w:rFonts w:asciiTheme="majorBidi" w:hAnsiTheme="majorBidi" w:cstheme="majorBidi"/>
          <w:b/>
          <w:bCs/>
          <w:szCs w:val="20"/>
        </w:rPr>
        <w:t xml:space="preserve">: whether the prediction correctly identifies event occurrence or non-occurrence. </w:t>
      </w:r>
    </w:p>
    <w:p w14:paraId="1FA91131" w14:textId="77777777" w:rsidR="00940E93" w:rsidRPr="00ED2614" w:rsidRDefault="00940E93" w:rsidP="00940E93">
      <w:pPr>
        <w:pStyle w:val="ListParagraph"/>
        <w:numPr>
          <w:ilvl w:val="1"/>
          <w:numId w:val="17"/>
        </w:numPr>
        <w:rPr>
          <w:rFonts w:asciiTheme="majorBidi" w:hAnsiTheme="majorBidi" w:cstheme="majorBidi"/>
          <w:b/>
          <w:bCs/>
          <w:szCs w:val="20"/>
        </w:rPr>
      </w:pPr>
      <w:r w:rsidRPr="00ED2614">
        <w:rPr>
          <w:rFonts w:asciiTheme="majorBidi" w:hAnsiTheme="majorBidi" w:cstheme="majorBidi"/>
          <w:b/>
          <w:bCs/>
          <w:i/>
          <w:iCs/>
          <w:szCs w:val="20"/>
        </w:rPr>
        <w:t>Temporal Accuracy</w:t>
      </w:r>
      <w:r w:rsidRPr="00ED2614">
        <w:rPr>
          <w:rFonts w:asciiTheme="majorBidi" w:hAnsiTheme="majorBidi" w:cstheme="majorBidi"/>
          <w:b/>
          <w:bCs/>
          <w:szCs w:val="20"/>
        </w:rPr>
        <w:t>: Measures how closely the predicted event occurrence time matches the actual event time, within a defined tolerance.</w:t>
      </w:r>
    </w:p>
    <w:p w14:paraId="34053BB9" w14:textId="77777777" w:rsidR="00940E93" w:rsidRPr="00ED2614" w:rsidRDefault="00940E93" w:rsidP="00940E93">
      <w:pPr>
        <w:pStyle w:val="ListParagraph"/>
        <w:numPr>
          <w:ilvl w:val="0"/>
          <w:numId w:val="17"/>
        </w:numPr>
        <w:rPr>
          <w:rFonts w:asciiTheme="majorBidi" w:hAnsiTheme="majorBidi" w:cstheme="majorBidi"/>
          <w:b/>
          <w:bCs/>
          <w:szCs w:val="20"/>
        </w:rPr>
      </w:pPr>
      <w:r w:rsidRPr="00ED2614">
        <w:rPr>
          <w:rFonts w:asciiTheme="majorBidi" w:hAnsiTheme="majorBidi" w:cstheme="majorBidi"/>
          <w:b/>
          <w:bCs/>
          <w:szCs w:val="20"/>
        </w:rPr>
        <w:t>Event Prediction Reporting RSRP Accuracy: Refers to the accuracy of the reported relative /absolute predicted RSRP values associated with the event, compared to ground truth value.</w:t>
      </w:r>
    </w:p>
    <w:p w14:paraId="47D10784" w14:textId="77777777" w:rsidR="00940E93" w:rsidRPr="00ED2614" w:rsidRDefault="00940E93" w:rsidP="00940E93">
      <w:pPr>
        <w:rPr>
          <w:rFonts w:asciiTheme="majorBidi" w:hAnsiTheme="majorBidi" w:cstheme="majorBidi"/>
          <w:b/>
          <w:bCs/>
          <w:szCs w:val="20"/>
        </w:rPr>
      </w:pPr>
      <w:r w:rsidRPr="00ED2614">
        <w:rPr>
          <w:rFonts w:asciiTheme="majorBidi" w:hAnsiTheme="majorBidi" w:cstheme="majorBidi"/>
          <w:b/>
          <w:bCs/>
          <w:szCs w:val="20"/>
        </w:rPr>
        <w:t>Proposal 2: RAN4 to consider following configurations for indirect measurement event prediction requirements</w:t>
      </w:r>
    </w:p>
    <w:p w14:paraId="391A2E97" w14:textId="77777777" w:rsidR="00940E93" w:rsidRPr="00ED2614" w:rsidRDefault="00940E93" w:rsidP="00940E93">
      <w:pPr>
        <w:pStyle w:val="ListParagraph"/>
        <w:numPr>
          <w:ilvl w:val="0"/>
          <w:numId w:val="18"/>
        </w:numPr>
        <w:rPr>
          <w:rFonts w:asciiTheme="majorBidi" w:hAnsiTheme="majorBidi" w:cstheme="majorBidi"/>
          <w:b/>
          <w:bCs/>
          <w:szCs w:val="20"/>
        </w:rPr>
      </w:pPr>
      <w:r w:rsidRPr="00ED2614">
        <w:rPr>
          <w:rFonts w:asciiTheme="majorBidi" w:hAnsiTheme="majorBidi" w:cstheme="majorBidi"/>
          <w:b/>
          <w:bCs/>
          <w:szCs w:val="20"/>
        </w:rPr>
        <w:t>Event Prediction Window (Prediction Horizon): Refers to the future time interval within which the UE predicts the entry and/or exit conditions of a configured measurement event (e.g., A3).</w:t>
      </w:r>
    </w:p>
    <w:p w14:paraId="3C7A3651" w14:textId="77777777" w:rsidR="00940E93" w:rsidRPr="00ED2614" w:rsidRDefault="00940E93" w:rsidP="00940E93">
      <w:pPr>
        <w:pStyle w:val="ListParagraph"/>
        <w:numPr>
          <w:ilvl w:val="0"/>
          <w:numId w:val="18"/>
        </w:numPr>
        <w:rPr>
          <w:rFonts w:asciiTheme="majorBidi" w:hAnsiTheme="majorBidi" w:cstheme="majorBidi"/>
          <w:b/>
          <w:bCs/>
          <w:szCs w:val="20"/>
        </w:rPr>
      </w:pPr>
      <w:r w:rsidRPr="00ED2614">
        <w:rPr>
          <w:rFonts w:asciiTheme="majorBidi" w:hAnsiTheme="majorBidi" w:cstheme="majorBidi"/>
          <w:b/>
          <w:bCs/>
          <w:szCs w:val="20"/>
        </w:rPr>
        <w:t>Event Prediction Reporting/Inference Delay: Defined as the time interval between the point at which the UE initiate the event prediction and the point at which the UE transmits the corresponding event prediction report over the air interface.</w:t>
      </w:r>
    </w:p>
    <w:p w14:paraId="378284A3" w14:textId="77777777" w:rsidR="00940E93" w:rsidRPr="00ED2614" w:rsidRDefault="00940E93" w:rsidP="00940E93">
      <w:pPr>
        <w:pStyle w:val="ListParagraph"/>
        <w:numPr>
          <w:ilvl w:val="0"/>
          <w:numId w:val="18"/>
        </w:numPr>
        <w:rPr>
          <w:rFonts w:asciiTheme="majorBidi" w:hAnsiTheme="majorBidi" w:cstheme="majorBidi"/>
          <w:b/>
          <w:bCs/>
          <w:szCs w:val="20"/>
        </w:rPr>
      </w:pPr>
      <w:r w:rsidRPr="00ED2614">
        <w:rPr>
          <w:rFonts w:asciiTheme="majorBidi" w:hAnsiTheme="majorBidi" w:cstheme="majorBidi"/>
          <w:b/>
          <w:bCs/>
          <w:szCs w:val="20"/>
        </w:rPr>
        <w:lastRenderedPageBreak/>
        <w:t>Number of Cells/SSBs for which Prediction is Supported: Indicates the capability of the UE to simultaneously predict measurement events for multiple cells or SSBs.</w:t>
      </w:r>
    </w:p>
    <w:p w14:paraId="2527386F" w14:textId="77777777" w:rsidR="00940E93" w:rsidRDefault="00940E93" w:rsidP="00940E93">
      <w:pPr>
        <w:rPr>
          <w:rFonts w:asciiTheme="majorBidi" w:hAnsiTheme="majorBidi" w:cstheme="majorBidi"/>
          <w:b/>
          <w:bCs/>
          <w:szCs w:val="20"/>
        </w:rPr>
      </w:pPr>
      <w:r w:rsidRPr="00ED2614">
        <w:rPr>
          <w:rFonts w:asciiTheme="majorBidi" w:hAnsiTheme="majorBidi" w:cstheme="majorBidi"/>
          <w:b/>
          <w:bCs/>
          <w:szCs w:val="20"/>
        </w:rPr>
        <w:t xml:space="preserve">Observation 7: </w:t>
      </w:r>
      <w:r w:rsidRPr="00ED2614">
        <w:rPr>
          <w:rFonts w:asciiTheme="majorBidi" w:hAnsiTheme="majorBidi" w:cstheme="majorBidi"/>
          <w:szCs w:val="20"/>
        </w:rPr>
        <w:t>Similar accuracy definition and requirements have been considered for Even-based measurement reporting and periodic measurement in TS 38.133.</w:t>
      </w:r>
    </w:p>
    <w:p w14:paraId="4914D502" w14:textId="6BC8B827" w:rsidR="00131334" w:rsidRPr="006D2703" w:rsidRDefault="00940E93" w:rsidP="00940E93">
      <w:pPr>
        <w:rPr>
          <w:lang w:val="en-US"/>
        </w:rPr>
      </w:pPr>
      <w:r w:rsidRPr="00ED2614">
        <w:rPr>
          <w:rFonts w:asciiTheme="majorBidi" w:hAnsiTheme="majorBidi" w:cstheme="majorBidi"/>
          <w:b/>
          <w:bCs/>
          <w:szCs w:val="20"/>
        </w:rPr>
        <w:t>Proposal 3: For indirect measurement event prediction use case, for potential report that includes the predicted RSRPs, RAN4 to assume a similar RSRP accuracy definition considered for predicted measurements. The applicable tolerance or accuracy levels may be influenced by several key factors, including length of the observation window, the duration of the prediction window, etc.</w:t>
      </w:r>
    </w:p>
    <w:p w14:paraId="742306EA" w14:textId="6EC12308" w:rsidR="00897F5E" w:rsidRPr="00D635A8" w:rsidRDefault="003B659E" w:rsidP="00D635A8">
      <w:pPr>
        <w:pStyle w:val="RAN4H1"/>
        <w:numPr>
          <w:ilvl w:val="0"/>
          <w:numId w:val="0"/>
        </w:numPr>
        <w:ind w:left="360" w:hanging="360"/>
        <w:rPr>
          <w:lang w:val="en-US"/>
        </w:rPr>
      </w:pPr>
      <w:bookmarkStart w:id="25" w:name="_Toc116995849"/>
      <w:r w:rsidRPr="00614DD8">
        <w:rPr>
          <w:lang w:val="en-US"/>
        </w:rPr>
        <w:t>References</w:t>
      </w:r>
      <w:bookmarkEnd w:id="25"/>
    </w:p>
    <w:p w14:paraId="6A4E29FF" w14:textId="3033D72A" w:rsidR="00C0642E" w:rsidRDefault="00C0642E" w:rsidP="00C0642E">
      <w:pPr>
        <w:pStyle w:val="ListParagraph"/>
        <w:numPr>
          <w:ilvl w:val="0"/>
          <w:numId w:val="4"/>
        </w:numPr>
        <w:ind w:right="-22"/>
      </w:pPr>
      <w:r w:rsidRPr="00C0642E">
        <w:t xml:space="preserve"> </w:t>
      </w:r>
      <w:r>
        <w:t>RP-242393, “Revised SID on AIML for mobility in NR”, OPPO, RAN#105 meeting, 9 – 12 September 2024, Melbourne, Australia.</w:t>
      </w:r>
    </w:p>
    <w:p w14:paraId="53AE0D74" w14:textId="49A110CB" w:rsidR="00C0642E" w:rsidRDefault="00C0642E" w:rsidP="00C0642E">
      <w:pPr>
        <w:pStyle w:val="ListParagraph"/>
        <w:numPr>
          <w:ilvl w:val="0"/>
          <w:numId w:val="4"/>
        </w:numPr>
        <w:ind w:right="-22"/>
      </w:pPr>
      <w:r>
        <w:t xml:space="preserve">3GPP TR 38.744, </w:t>
      </w:r>
      <w:r w:rsidR="00DA126D" w:rsidRPr="00DA126D">
        <w:t>“</w:t>
      </w:r>
      <w:r>
        <w:t>Study on Artificial Intelligence (AI)/Machine Learning (ML) for mobility in NR; (Rel. 19</w:t>
      </w:r>
      <w:proofErr w:type="gramStart"/>
      <w:r>
        <w:t>)</w:t>
      </w:r>
      <w:r w:rsidR="00DA126D" w:rsidRPr="00DA126D">
        <w:t xml:space="preserve"> ”</w:t>
      </w:r>
      <w:proofErr w:type="gramEnd"/>
    </w:p>
    <w:p w14:paraId="2A0E0B85" w14:textId="24488BCE" w:rsidR="00D635A8" w:rsidRPr="00131334" w:rsidRDefault="008D1D4C" w:rsidP="00131334">
      <w:pPr>
        <w:pStyle w:val="ListParagraph"/>
        <w:numPr>
          <w:ilvl w:val="0"/>
          <w:numId w:val="4"/>
        </w:numPr>
        <w:ind w:right="-22"/>
        <w:rPr>
          <w:lang w:val="en-US"/>
        </w:rPr>
      </w:pPr>
      <w:bookmarkStart w:id="26" w:name="_Ref202778786"/>
      <w:r w:rsidRPr="008D1D4C">
        <w:rPr>
          <w:lang w:val="en-US"/>
        </w:rPr>
        <w:t>R4-2508268</w:t>
      </w:r>
      <w:r>
        <w:rPr>
          <w:lang w:val="en-US"/>
        </w:rPr>
        <w:t>,</w:t>
      </w:r>
      <w:r w:rsidR="00DA126D" w:rsidRPr="00DA126D">
        <w:t xml:space="preserve"> </w:t>
      </w:r>
      <w:r w:rsidR="00DA126D" w:rsidRPr="00DA126D">
        <w:rPr>
          <w:lang w:val="en-US"/>
        </w:rPr>
        <w:t>“</w:t>
      </w:r>
      <w:r w:rsidRPr="008D1D4C">
        <w:rPr>
          <w:lang w:val="en-US"/>
        </w:rPr>
        <w:t>WF on AI/ML Mobility Part 1</w:t>
      </w:r>
      <w:r w:rsidR="00DA126D" w:rsidRPr="00DA126D">
        <w:rPr>
          <w:lang w:val="en-US"/>
        </w:rPr>
        <w:t>”</w:t>
      </w:r>
      <w:r w:rsidR="00DA126D">
        <w:rPr>
          <w:lang w:val="en-US"/>
        </w:rPr>
        <w:t>,</w:t>
      </w:r>
      <w:r>
        <w:rPr>
          <w:lang w:val="en-US"/>
        </w:rPr>
        <w:t xml:space="preserve"> </w:t>
      </w:r>
      <w:r w:rsidR="002C2900">
        <w:rPr>
          <w:lang w:val="en-US"/>
        </w:rPr>
        <w:t xml:space="preserve">Nokia, </w:t>
      </w:r>
      <w:r w:rsidR="00166845" w:rsidRPr="00166845">
        <w:rPr>
          <w:lang w:val="en-US"/>
        </w:rPr>
        <w:t>May 19th – May 23rd, 2025</w:t>
      </w:r>
      <w:r w:rsidR="00683FF9">
        <w:rPr>
          <w:lang w:val="en-US"/>
        </w:rPr>
        <w:t xml:space="preserve">, </w:t>
      </w:r>
      <w:r w:rsidR="00683FF9" w:rsidRPr="00683FF9">
        <w:rPr>
          <w:lang w:val="en-US"/>
        </w:rPr>
        <w:t>Malta</w:t>
      </w:r>
      <w:bookmarkEnd w:id="26"/>
    </w:p>
    <w:sectPr w:rsidR="00D635A8" w:rsidRPr="0013133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0AD9" w14:textId="77777777" w:rsidR="00701E8B" w:rsidRDefault="00701E8B" w:rsidP="00001C9B">
      <w:pPr>
        <w:spacing w:after="0" w:line="240" w:lineRule="auto"/>
      </w:pPr>
      <w:r>
        <w:separator/>
      </w:r>
    </w:p>
  </w:endnote>
  <w:endnote w:type="continuationSeparator" w:id="0">
    <w:p w14:paraId="659C54CB" w14:textId="77777777" w:rsidR="00701E8B" w:rsidRDefault="00701E8B" w:rsidP="00001C9B">
      <w:pPr>
        <w:spacing w:after="0" w:line="240" w:lineRule="auto"/>
      </w:pPr>
      <w:r>
        <w:continuationSeparator/>
      </w:r>
    </w:p>
  </w:endnote>
  <w:endnote w:type="continuationNotice" w:id="1">
    <w:p w14:paraId="44FAC43B" w14:textId="77777777" w:rsidR="00701E8B" w:rsidRDefault="00701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594E" w14:textId="77777777" w:rsidR="00701E8B" w:rsidRDefault="00701E8B" w:rsidP="00001C9B">
      <w:pPr>
        <w:spacing w:after="0" w:line="240" w:lineRule="auto"/>
      </w:pPr>
      <w:r>
        <w:separator/>
      </w:r>
    </w:p>
  </w:footnote>
  <w:footnote w:type="continuationSeparator" w:id="0">
    <w:p w14:paraId="7A1183B4" w14:textId="77777777" w:rsidR="00701E8B" w:rsidRDefault="00701E8B" w:rsidP="00001C9B">
      <w:pPr>
        <w:spacing w:after="0" w:line="240" w:lineRule="auto"/>
      </w:pPr>
      <w:r>
        <w:continuationSeparator/>
      </w:r>
    </w:p>
  </w:footnote>
  <w:footnote w:type="continuationNotice" w:id="1">
    <w:p w14:paraId="69AB8DD3" w14:textId="77777777" w:rsidR="00701E8B" w:rsidRDefault="00701E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C97096D"/>
    <w:multiLevelType w:val="hybridMultilevel"/>
    <w:tmpl w:val="850C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609DA"/>
    <w:multiLevelType w:val="hybridMultilevel"/>
    <w:tmpl w:val="3500B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659071369">
    <w:abstractNumId w:val="13"/>
  </w:num>
  <w:num w:numId="5" w16cid:durableId="143009612">
    <w:abstractNumId w:val="0"/>
  </w:num>
  <w:num w:numId="6" w16cid:durableId="14306630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7"/>
  </w:num>
  <w:num w:numId="8" w16cid:durableId="1451975294">
    <w:abstractNumId w:val="6"/>
  </w:num>
  <w:num w:numId="9" w16cid:durableId="1547718586">
    <w:abstractNumId w:val="2"/>
  </w:num>
  <w:num w:numId="10" w16cid:durableId="536771811">
    <w:abstractNumId w:val="12"/>
  </w:num>
  <w:num w:numId="11" w16cid:durableId="239095037">
    <w:abstractNumId w:val="11"/>
  </w:num>
  <w:num w:numId="12" w16cid:durableId="1186672455">
    <w:abstractNumId w:val="7"/>
  </w:num>
  <w:num w:numId="13" w16cid:durableId="1277057395">
    <w:abstractNumId w:val="5"/>
  </w:num>
  <w:num w:numId="14" w16cid:durableId="1650092808">
    <w:abstractNumId w:val="16"/>
  </w:num>
  <w:num w:numId="15" w16cid:durableId="385765006">
    <w:abstractNumId w:val="1"/>
  </w:num>
  <w:num w:numId="16" w16cid:durableId="1671442699">
    <w:abstractNumId w:val="4"/>
  </w:num>
  <w:num w:numId="17" w16cid:durableId="1749114654">
    <w:abstractNumId w:val="14"/>
  </w:num>
  <w:num w:numId="18" w16cid:durableId="165629868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29CD"/>
    <w:rsid w:val="00002ACB"/>
    <w:rsid w:val="00003BD7"/>
    <w:rsid w:val="000040DC"/>
    <w:rsid w:val="00004DA3"/>
    <w:rsid w:val="0000507B"/>
    <w:rsid w:val="0000670A"/>
    <w:rsid w:val="00010494"/>
    <w:rsid w:val="00010B58"/>
    <w:rsid w:val="00011784"/>
    <w:rsid w:val="00011DDA"/>
    <w:rsid w:val="00011E0F"/>
    <w:rsid w:val="000126B2"/>
    <w:rsid w:val="0001270F"/>
    <w:rsid w:val="00012E15"/>
    <w:rsid w:val="00013F3F"/>
    <w:rsid w:val="000142DE"/>
    <w:rsid w:val="00014DA1"/>
    <w:rsid w:val="00014E71"/>
    <w:rsid w:val="000151EF"/>
    <w:rsid w:val="00015DEF"/>
    <w:rsid w:val="00016134"/>
    <w:rsid w:val="0001677B"/>
    <w:rsid w:val="000177F7"/>
    <w:rsid w:val="00021FB3"/>
    <w:rsid w:val="00022176"/>
    <w:rsid w:val="000226F1"/>
    <w:rsid w:val="00022DBD"/>
    <w:rsid w:val="00022E33"/>
    <w:rsid w:val="000239F5"/>
    <w:rsid w:val="00024278"/>
    <w:rsid w:val="00024E17"/>
    <w:rsid w:val="00024F66"/>
    <w:rsid w:val="00024FD1"/>
    <w:rsid w:val="000250DD"/>
    <w:rsid w:val="00025282"/>
    <w:rsid w:val="00026174"/>
    <w:rsid w:val="000265F9"/>
    <w:rsid w:val="00026D94"/>
    <w:rsid w:val="00027538"/>
    <w:rsid w:val="0002756B"/>
    <w:rsid w:val="00027648"/>
    <w:rsid w:val="000277D1"/>
    <w:rsid w:val="0003027A"/>
    <w:rsid w:val="00030A62"/>
    <w:rsid w:val="00030BDA"/>
    <w:rsid w:val="00030E67"/>
    <w:rsid w:val="00030EA9"/>
    <w:rsid w:val="0003108C"/>
    <w:rsid w:val="000322BB"/>
    <w:rsid w:val="00032CDC"/>
    <w:rsid w:val="000333B5"/>
    <w:rsid w:val="00035E2F"/>
    <w:rsid w:val="00035E46"/>
    <w:rsid w:val="00036A19"/>
    <w:rsid w:val="00036C04"/>
    <w:rsid w:val="00036C41"/>
    <w:rsid w:val="00036C5A"/>
    <w:rsid w:val="00036F92"/>
    <w:rsid w:val="00037F74"/>
    <w:rsid w:val="0004247C"/>
    <w:rsid w:val="000436C9"/>
    <w:rsid w:val="00043796"/>
    <w:rsid w:val="00044586"/>
    <w:rsid w:val="00044644"/>
    <w:rsid w:val="00045BB6"/>
    <w:rsid w:val="00045D31"/>
    <w:rsid w:val="00045F55"/>
    <w:rsid w:val="000461D2"/>
    <w:rsid w:val="000467AD"/>
    <w:rsid w:val="000467F6"/>
    <w:rsid w:val="00046853"/>
    <w:rsid w:val="00046BB8"/>
    <w:rsid w:val="00047CDE"/>
    <w:rsid w:val="000500C5"/>
    <w:rsid w:val="00050EF0"/>
    <w:rsid w:val="00051629"/>
    <w:rsid w:val="000516A4"/>
    <w:rsid w:val="00051B02"/>
    <w:rsid w:val="00051DA4"/>
    <w:rsid w:val="000522D6"/>
    <w:rsid w:val="000534AF"/>
    <w:rsid w:val="0005361B"/>
    <w:rsid w:val="000537EC"/>
    <w:rsid w:val="00053ECC"/>
    <w:rsid w:val="00054C48"/>
    <w:rsid w:val="0005521E"/>
    <w:rsid w:val="00055261"/>
    <w:rsid w:val="0005543B"/>
    <w:rsid w:val="0005573A"/>
    <w:rsid w:val="000565BE"/>
    <w:rsid w:val="00056A58"/>
    <w:rsid w:val="00056D5F"/>
    <w:rsid w:val="000575C1"/>
    <w:rsid w:val="00060954"/>
    <w:rsid w:val="00062047"/>
    <w:rsid w:val="000620D8"/>
    <w:rsid w:val="000622CC"/>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67EEF"/>
    <w:rsid w:val="000700B2"/>
    <w:rsid w:val="00070299"/>
    <w:rsid w:val="00070EED"/>
    <w:rsid w:val="00071FC8"/>
    <w:rsid w:val="00072006"/>
    <w:rsid w:val="000728B4"/>
    <w:rsid w:val="00072AC2"/>
    <w:rsid w:val="00072CCA"/>
    <w:rsid w:val="0007481C"/>
    <w:rsid w:val="00075CB6"/>
    <w:rsid w:val="00075FD6"/>
    <w:rsid w:val="000807A2"/>
    <w:rsid w:val="00080AC8"/>
    <w:rsid w:val="00080D79"/>
    <w:rsid w:val="00080E3B"/>
    <w:rsid w:val="00081269"/>
    <w:rsid w:val="000813BA"/>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6F02"/>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1FCA"/>
    <w:rsid w:val="000B2547"/>
    <w:rsid w:val="000B2B92"/>
    <w:rsid w:val="000B312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3EDC"/>
    <w:rsid w:val="000C4022"/>
    <w:rsid w:val="000C4100"/>
    <w:rsid w:val="000C441F"/>
    <w:rsid w:val="000C4480"/>
    <w:rsid w:val="000C6370"/>
    <w:rsid w:val="000C68FA"/>
    <w:rsid w:val="000C6DFF"/>
    <w:rsid w:val="000C6F0C"/>
    <w:rsid w:val="000C6F6B"/>
    <w:rsid w:val="000C754A"/>
    <w:rsid w:val="000C76A7"/>
    <w:rsid w:val="000C76DD"/>
    <w:rsid w:val="000C7B0A"/>
    <w:rsid w:val="000D030A"/>
    <w:rsid w:val="000D0CF3"/>
    <w:rsid w:val="000D0F93"/>
    <w:rsid w:val="000D1C3B"/>
    <w:rsid w:val="000D1E38"/>
    <w:rsid w:val="000D25E0"/>
    <w:rsid w:val="000D2D9B"/>
    <w:rsid w:val="000D3935"/>
    <w:rsid w:val="000D39C4"/>
    <w:rsid w:val="000D3FDC"/>
    <w:rsid w:val="000D4741"/>
    <w:rsid w:val="000D48C6"/>
    <w:rsid w:val="000D4FCB"/>
    <w:rsid w:val="000D52F5"/>
    <w:rsid w:val="000D711A"/>
    <w:rsid w:val="000D799D"/>
    <w:rsid w:val="000E0793"/>
    <w:rsid w:val="000E0D54"/>
    <w:rsid w:val="000E0DAC"/>
    <w:rsid w:val="000E10CC"/>
    <w:rsid w:val="000E128C"/>
    <w:rsid w:val="000E2337"/>
    <w:rsid w:val="000E28CE"/>
    <w:rsid w:val="000E2966"/>
    <w:rsid w:val="000E2A16"/>
    <w:rsid w:val="000E32E1"/>
    <w:rsid w:val="000E3A0A"/>
    <w:rsid w:val="000E40F8"/>
    <w:rsid w:val="000E41AB"/>
    <w:rsid w:val="000E443C"/>
    <w:rsid w:val="000E5B91"/>
    <w:rsid w:val="000E6679"/>
    <w:rsid w:val="000E69EE"/>
    <w:rsid w:val="000E6E67"/>
    <w:rsid w:val="000E6F16"/>
    <w:rsid w:val="000E749F"/>
    <w:rsid w:val="000E767E"/>
    <w:rsid w:val="000E76DA"/>
    <w:rsid w:val="000F091A"/>
    <w:rsid w:val="000F0983"/>
    <w:rsid w:val="000F0C3B"/>
    <w:rsid w:val="000F2189"/>
    <w:rsid w:val="000F25F9"/>
    <w:rsid w:val="000F2B5C"/>
    <w:rsid w:val="000F3173"/>
    <w:rsid w:val="000F330B"/>
    <w:rsid w:val="000F4D9D"/>
    <w:rsid w:val="000F6373"/>
    <w:rsid w:val="000F7242"/>
    <w:rsid w:val="000F7987"/>
    <w:rsid w:val="0010186F"/>
    <w:rsid w:val="00102580"/>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419"/>
    <w:rsid w:val="00130384"/>
    <w:rsid w:val="00131334"/>
    <w:rsid w:val="001313BC"/>
    <w:rsid w:val="00131858"/>
    <w:rsid w:val="00132F6A"/>
    <w:rsid w:val="00133545"/>
    <w:rsid w:val="00133663"/>
    <w:rsid w:val="00133913"/>
    <w:rsid w:val="0013398E"/>
    <w:rsid w:val="00135390"/>
    <w:rsid w:val="00135862"/>
    <w:rsid w:val="00135A36"/>
    <w:rsid w:val="00135CE1"/>
    <w:rsid w:val="001360D0"/>
    <w:rsid w:val="0013662C"/>
    <w:rsid w:val="0013686E"/>
    <w:rsid w:val="00137023"/>
    <w:rsid w:val="0013712A"/>
    <w:rsid w:val="00140203"/>
    <w:rsid w:val="00140221"/>
    <w:rsid w:val="00141618"/>
    <w:rsid w:val="0014192C"/>
    <w:rsid w:val="00141A9E"/>
    <w:rsid w:val="001427FC"/>
    <w:rsid w:val="00142951"/>
    <w:rsid w:val="00142A1B"/>
    <w:rsid w:val="00142F8F"/>
    <w:rsid w:val="00144962"/>
    <w:rsid w:val="0014514E"/>
    <w:rsid w:val="00145F4E"/>
    <w:rsid w:val="00146CA9"/>
    <w:rsid w:val="00146D13"/>
    <w:rsid w:val="00147AF7"/>
    <w:rsid w:val="00150594"/>
    <w:rsid w:val="001505ED"/>
    <w:rsid w:val="00150A84"/>
    <w:rsid w:val="001547E2"/>
    <w:rsid w:val="00154C04"/>
    <w:rsid w:val="00154DF9"/>
    <w:rsid w:val="001551D2"/>
    <w:rsid w:val="00155860"/>
    <w:rsid w:val="00155B81"/>
    <w:rsid w:val="00155FFF"/>
    <w:rsid w:val="001570DE"/>
    <w:rsid w:val="00157619"/>
    <w:rsid w:val="001577C5"/>
    <w:rsid w:val="00157915"/>
    <w:rsid w:val="00157A61"/>
    <w:rsid w:val="0016144B"/>
    <w:rsid w:val="001621DF"/>
    <w:rsid w:val="00162D84"/>
    <w:rsid w:val="001631EA"/>
    <w:rsid w:val="00163BA8"/>
    <w:rsid w:val="00163BB3"/>
    <w:rsid w:val="00164152"/>
    <w:rsid w:val="001642FC"/>
    <w:rsid w:val="0016496B"/>
    <w:rsid w:val="00165107"/>
    <w:rsid w:val="001656A6"/>
    <w:rsid w:val="00165C97"/>
    <w:rsid w:val="00166339"/>
    <w:rsid w:val="00166845"/>
    <w:rsid w:val="00166B7E"/>
    <w:rsid w:val="00166F85"/>
    <w:rsid w:val="00167408"/>
    <w:rsid w:val="00170546"/>
    <w:rsid w:val="00170B4D"/>
    <w:rsid w:val="00171647"/>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842"/>
    <w:rsid w:val="00181A01"/>
    <w:rsid w:val="0018229C"/>
    <w:rsid w:val="001834D9"/>
    <w:rsid w:val="001838CF"/>
    <w:rsid w:val="00183A02"/>
    <w:rsid w:val="00183E55"/>
    <w:rsid w:val="00184439"/>
    <w:rsid w:val="00184F27"/>
    <w:rsid w:val="00185323"/>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5D58"/>
    <w:rsid w:val="0019725D"/>
    <w:rsid w:val="001977AE"/>
    <w:rsid w:val="00197E8D"/>
    <w:rsid w:val="001A0251"/>
    <w:rsid w:val="001A0333"/>
    <w:rsid w:val="001A093E"/>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C9D"/>
    <w:rsid w:val="001B1EA8"/>
    <w:rsid w:val="001B1F94"/>
    <w:rsid w:val="001B2687"/>
    <w:rsid w:val="001B2E8A"/>
    <w:rsid w:val="001B43B3"/>
    <w:rsid w:val="001B4564"/>
    <w:rsid w:val="001B49A6"/>
    <w:rsid w:val="001B4CF3"/>
    <w:rsid w:val="001B535A"/>
    <w:rsid w:val="001B58C9"/>
    <w:rsid w:val="001B5918"/>
    <w:rsid w:val="001B6F6A"/>
    <w:rsid w:val="001B7B94"/>
    <w:rsid w:val="001C10A2"/>
    <w:rsid w:val="001C1761"/>
    <w:rsid w:val="001C1CA9"/>
    <w:rsid w:val="001C2375"/>
    <w:rsid w:val="001C2442"/>
    <w:rsid w:val="001C2A52"/>
    <w:rsid w:val="001C2FA0"/>
    <w:rsid w:val="001C3064"/>
    <w:rsid w:val="001C3361"/>
    <w:rsid w:val="001C3370"/>
    <w:rsid w:val="001C3B14"/>
    <w:rsid w:val="001C45C9"/>
    <w:rsid w:val="001C4A5C"/>
    <w:rsid w:val="001C5766"/>
    <w:rsid w:val="001C6013"/>
    <w:rsid w:val="001C6508"/>
    <w:rsid w:val="001C6C7A"/>
    <w:rsid w:val="001C7D35"/>
    <w:rsid w:val="001D066B"/>
    <w:rsid w:val="001D1203"/>
    <w:rsid w:val="001D2143"/>
    <w:rsid w:val="001D287E"/>
    <w:rsid w:val="001D291A"/>
    <w:rsid w:val="001D2D09"/>
    <w:rsid w:val="001D2DD5"/>
    <w:rsid w:val="001D303B"/>
    <w:rsid w:val="001D3B61"/>
    <w:rsid w:val="001D4694"/>
    <w:rsid w:val="001D4831"/>
    <w:rsid w:val="001D4C7A"/>
    <w:rsid w:val="001D53E0"/>
    <w:rsid w:val="001D59CD"/>
    <w:rsid w:val="001D5AEA"/>
    <w:rsid w:val="001D62A7"/>
    <w:rsid w:val="001D64BF"/>
    <w:rsid w:val="001D6F3B"/>
    <w:rsid w:val="001D7554"/>
    <w:rsid w:val="001E0767"/>
    <w:rsid w:val="001E18D9"/>
    <w:rsid w:val="001E231E"/>
    <w:rsid w:val="001E2C21"/>
    <w:rsid w:val="001E2F7A"/>
    <w:rsid w:val="001E30F6"/>
    <w:rsid w:val="001E34B4"/>
    <w:rsid w:val="001E34DB"/>
    <w:rsid w:val="001E3BD4"/>
    <w:rsid w:val="001E410C"/>
    <w:rsid w:val="001E413D"/>
    <w:rsid w:val="001E4631"/>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1F7D53"/>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07BB7"/>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0E13"/>
    <w:rsid w:val="00231887"/>
    <w:rsid w:val="00231E45"/>
    <w:rsid w:val="002322D7"/>
    <w:rsid w:val="002328F0"/>
    <w:rsid w:val="002329CE"/>
    <w:rsid w:val="00232E1F"/>
    <w:rsid w:val="00234A4E"/>
    <w:rsid w:val="00234E12"/>
    <w:rsid w:val="00235BAF"/>
    <w:rsid w:val="00235F1D"/>
    <w:rsid w:val="00235F5C"/>
    <w:rsid w:val="00236F1E"/>
    <w:rsid w:val="00237597"/>
    <w:rsid w:val="00237835"/>
    <w:rsid w:val="002401FE"/>
    <w:rsid w:val="00240E73"/>
    <w:rsid w:val="0024148A"/>
    <w:rsid w:val="002415A0"/>
    <w:rsid w:val="00242120"/>
    <w:rsid w:val="002423EE"/>
    <w:rsid w:val="002423F3"/>
    <w:rsid w:val="0024270B"/>
    <w:rsid w:val="00242BA7"/>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3EC1"/>
    <w:rsid w:val="00255CCA"/>
    <w:rsid w:val="00256B31"/>
    <w:rsid w:val="00256D2F"/>
    <w:rsid w:val="00257289"/>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26A5"/>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3CBA"/>
    <w:rsid w:val="00284196"/>
    <w:rsid w:val="002849D4"/>
    <w:rsid w:val="00284EBB"/>
    <w:rsid w:val="002858C2"/>
    <w:rsid w:val="002866A0"/>
    <w:rsid w:val="002869D6"/>
    <w:rsid w:val="00286CBA"/>
    <w:rsid w:val="00287E4F"/>
    <w:rsid w:val="002905BF"/>
    <w:rsid w:val="0029114B"/>
    <w:rsid w:val="00291F2C"/>
    <w:rsid w:val="00292143"/>
    <w:rsid w:val="00293475"/>
    <w:rsid w:val="0029446D"/>
    <w:rsid w:val="0029489F"/>
    <w:rsid w:val="00295496"/>
    <w:rsid w:val="002962AB"/>
    <w:rsid w:val="002964B2"/>
    <w:rsid w:val="002965AC"/>
    <w:rsid w:val="002968D5"/>
    <w:rsid w:val="00297AC9"/>
    <w:rsid w:val="00297FF8"/>
    <w:rsid w:val="002A13D2"/>
    <w:rsid w:val="002A19F5"/>
    <w:rsid w:val="002A1EB1"/>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3730"/>
    <w:rsid w:val="002B3EF8"/>
    <w:rsid w:val="002B4154"/>
    <w:rsid w:val="002B4491"/>
    <w:rsid w:val="002B4922"/>
    <w:rsid w:val="002B4A61"/>
    <w:rsid w:val="002B4B11"/>
    <w:rsid w:val="002B54CD"/>
    <w:rsid w:val="002B5996"/>
    <w:rsid w:val="002B69F3"/>
    <w:rsid w:val="002C02EC"/>
    <w:rsid w:val="002C0895"/>
    <w:rsid w:val="002C0B0A"/>
    <w:rsid w:val="002C22C3"/>
    <w:rsid w:val="002C2618"/>
    <w:rsid w:val="002C2900"/>
    <w:rsid w:val="002C2D19"/>
    <w:rsid w:val="002C32E4"/>
    <w:rsid w:val="002C3798"/>
    <w:rsid w:val="002C429E"/>
    <w:rsid w:val="002C4BD3"/>
    <w:rsid w:val="002C5670"/>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6CF"/>
    <w:rsid w:val="002E2DB9"/>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1D5A"/>
    <w:rsid w:val="003120AC"/>
    <w:rsid w:val="00312378"/>
    <w:rsid w:val="003144B2"/>
    <w:rsid w:val="00314FBC"/>
    <w:rsid w:val="003150DF"/>
    <w:rsid w:val="003162DF"/>
    <w:rsid w:val="003165D6"/>
    <w:rsid w:val="00317037"/>
    <w:rsid w:val="00317187"/>
    <w:rsid w:val="003174C8"/>
    <w:rsid w:val="00317C55"/>
    <w:rsid w:val="00321C91"/>
    <w:rsid w:val="00322260"/>
    <w:rsid w:val="00322378"/>
    <w:rsid w:val="003223CD"/>
    <w:rsid w:val="00323B1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41F7"/>
    <w:rsid w:val="0033426F"/>
    <w:rsid w:val="00334793"/>
    <w:rsid w:val="003348E2"/>
    <w:rsid w:val="00334C35"/>
    <w:rsid w:val="00336F73"/>
    <w:rsid w:val="00336FFE"/>
    <w:rsid w:val="00337DB4"/>
    <w:rsid w:val="003418A7"/>
    <w:rsid w:val="00341D1E"/>
    <w:rsid w:val="003432AC"/>
    <w:rsid w:val="00344D2C"/>
    <w:rsid w:val="00345286"/>
    <w:rsid w:val="003456ED"/>
    <w:rsid w:val="0034584F"/>
    <w:rsid w:val="00346167"/>
    <w:rsid w:val="0034637E"/>
    <w:rsid w:val="003463B7"/>
    <w:rsid w:val="003469EE"/>
    <w:rsid w:val="00346DBD"/>
    <w:rsid w:val="00347351"/>
    <w:rsid w:val="003474AB"/>
    <w:rsid w:val="00347802"/>
    <w:rsid w:val="00347B73"/>
    <w:rsid w:val="00347FEC"/>
    <w:rsid w:val="003509DF"/>
    <w:rsid w:val="0035123D"/>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0DD4"/>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69E"/>
    <w:rsid w:val="00381A9D"/>
    <w:rsid w:val="00381F95"/>
    <w:rsid w:val="0038282C"/>
    <w:rsid w:val="003829D4"/>
    <w:rsid w:val="00382FE9"/>
    <w:rsid w:val="003841A0"/>
    <w:rsid w:val="00384445"/>
    <w:rsid w:val="003869C5"/>
    <w:rsid w:val="003869DD"/>
    <w:rsid w:val="00386BB9"/>
    <w:rsid w:val="003872B1"/>
    <w:rsid w:val="00387530"/>
    <w:rsid w:val="003908D4"/>
    <w:rsid w:val="00390DF2"/>
    <w:rsid w:val="00390FD6"/>
    <w:rsid w:val="003911AD"/>
    <w:rsid w:val="00391466"/>
    <w:rsid w:val="00391FC9"/>
    <w:rsid w:val="003945C9"/>
    <w:rsid w:val="003A0683"/>
    <w:rsid w:val="003A07D5"/>
    <w:rsid w:val="003A0FE6"/>
    <w:rsid w:val="003A3158"/>
    <w:rsid w:val="003A4DCB"/>
    <w:rsid w:val="003A510E"/>
    <w:rsid w:val="003A52C5"/>
    <w:rsid w:val="003A58EC"/>
    <w:rsid w:val="003A710A"/>
    <w:rsid w:val="003A73E0"/>
    <w:rsid w:val="003B0ACC"/>
    <w:rsid w:val="003B0FAB"/>
    <w:rsid w:val="003B175B"/>
    <w:rsid w:val="003B252D"/>
    <w:rsid w:val="003B2F42"/>
    <w:rsid w:val="003B2FBC"/>
    <w:rsid w:val="003B33FF"/>
    <w:rsid w:val="003B348C"/>
    <w:rsid w:val="003B361E"/>
    <w:rsid w:val="003B3FA7"/>
    <w:rsid w:val="003B5A62"/>
    <w:rsid w:val="003B659E"/>
    <w:rsid w:val="003B6B4E"/>
    <w:rsid w:val="003B741E"/>
    <w:rsid w:val="003B7899"/>
    <w:rsid w:val="003B7DB2"/>
    <w:rsid w:val="003C0187"/>
    <w:rsid w:val="003C0252"/>
    <w:rsid w:val="003C0A31"/>
    <w:rsid w:val="003C0F9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4B0E"/>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4A"/>
    <w:rsid w:val="00410E5C"/>
    <w:rsid w:val="00411E18"/>
    <w:rsid w:val="00412B9B"/>
    <w:rsid w:val="00413018"/>
    <w:rsid w:val="0041304C"/>
    <w:rsid w:val="0041423F"/>
    <w:rsid w:val="004142F4"/>
    <w:rsid w:val="004145E6"/>
    <w:rsid w:val="00414F81"/>
    <w:rsid w:val="00414FC3"/>
    <w:rsid w:val="0041592F"/>
    <w:rsid w:val="00415941"/>
    <w:rsid w:val="00415B07"/>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139"/>
    <w:rsid w:val="004334A2"/>
    <w:rsid w:val="00433735"/>
    <w:rsid w:val="00433F8B"/>
    <w:rsid w:val="00436A0F"/>
    <w:rsid w:val="004370C3"/>
    <w:rsid w:val="00437150"/>
    <w:rsid w:val="0043750A"/>
    <w:rsid w:val="00437A1A"/>
    <w:rsid w:val="0044122A"/>
    <w:rsid w:val="00441AC9"/>
    <w:rsid w:val="00441D97"/>
    <w:rsid w:val="00442090"/>
    <w:rsid w:val="004421C3"/>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717"/>
    <w:rsid w:val="004547A5"/>
    <w:rsid w:val="00454F32"/>
    <w:rsid w:val="004554B7"/>
    <w:rsid w:val="004555EC"/>
    <w:rsid w:val="00456A6A"/>
    <w:rsid w:val="00456CC8"/>
    <w:rsid w:val="00457D22"/>
    <w:rsid w:val="00457EC2"/>
    <w:rsid w:val="004605A2"/>
    <w:rsid w:val="00460967"/>
    <w:rsid w:val="00461069"/>
    <w:rsid w:val="00462AD0"/>
    <w:rsid w:val="00463647"/>
    <w:rsid w:val="0046380D"/>
    <w:rsid w:val="004647CA"/>
    <w:rsid w:val="0046620F"/>
    <w:rsid w:val="00466911"/>
    <w:rsid w:val="00466EBE"/>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08B"/>
    <w:rsid w:val="00493186"/>
    <w:rsid w:val="004935A1"/>
    <w:rsid w:val="00493B18"/>
    <w:rsid w:val="00494493"/>
    <w:rsid w:val="00494DE2"/>
    <w:rsid w:val="00494F7C"/>
    <w:rsid w:val="004950FA"/>
    <w:rsid w:val="00495F9F"/>
    <w:rsid w:val="0049630E"/>
    <w:rsid w:val="00496606"/>
    <w:rsid w:val="00497780"/>
    <w:rsid w:val="00497981"/>
    <w:rsid w:val="00497A8F"/>
    <w:rsid w:val="00497DD3"/>
    <w:rsid w:val="004A0DC3"/>
    <w:rsid w:val="004A18F1"/>
    <w:rsid w:val="004A1901"/>
    <w:rsid w:val="004A2D69"/>
    <w:rsid w:val="004A2E5E"/>
    <w:rsid w:val="004A3200"/>
    <w:rsid w:val="004A490B"/>
    <w:rsid w:val="004A4C64"/>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13"/>
    <w:rsid w:val="004C364D"/>
    <w:rsid w:val="004C3ED5"/>
    <w:rsid w:val="004C4600"/>
    <w:rsid w:val="004C72B7"/>
    <w:rsid w:val="004C75A2"/>
    <w:rsid w:val="004C77B9"/>
    <w:rsid w:val="004C7F75"/>
    <w:rsid w:val="004D0344"/>
    <w:rsid w:val="004D04F7"/>
    <w:rsid w:val="004D0570"/>
    <w:rsid w:val="004D169E"/>
    <w:rsid w:val="004D1799"/>
    <w:rsid w:val="004D1D5B"/>
    <w:rsid w:val="004D1E4B"/>
    <w:rsid w:val="004D22B2"/>
    <w:rsid w:val="004D298B"/>
    <w:rsid w:val="004D2991"/>
    <w:rsid w:val="004D2DD8"/>
    <w:rsid w:val="004D3472"/>
    <w:rsid w:val="004D38A1"/>
    <w:rsid w:val="004D40C4"/>
    <w:rsid w:val="004D48B4"/>
    <w:rsid w:val="004D4DC6"/>
    <w:rsid w:val="004D5302"/>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11D3"/>
    <w:rsid w:val="004F15D8"/>
    <w:rsid w:val="004F19C3"/>
    <w:rsid w:val="004F2349"/>
    <w:rsid w:val="004F270D"/>
    <w:rsid w:val="004F2CDA"/>
    <w:rsid w:val="004F2CFC"/>
    <w:rsid w:val="004F37F3"/>
    <w:rsid w:val="004F3B9E"/>
    <w:rsid w:val="004F3F0D"/>
    <w:rsid w:val="004F55A3"/>
    <w:rsid w:val="004F5652"/>
    <w:rsid w:val="004F57D9"/>
    <w:rsid w:val="004F5944"/>
    <w:rsid w:val="004F665B"/>
    <w:rsid w:val="004F7064"/>
    <w:rsid w:val="004F7C4A"/>
    <w:rsid w:val="00501E10"/>
    <w:rsid w:val="00502027"/>
    <w:rsid w:val="00502C20"/>
    <w:rsid w:val="0050335C"/>
    <w:rsid w:val="00503479"/>
    <w:rsid w:val="00503B4D"/>
    <w:rsid w:val="00503B6B"/>
    <w:rsid w:val="005043CB"/>
    <w:rsid w:val="0050499B"/>
    <w:rsid w:val="00504EE9"/>
    <w:rsid w:val="00506083"/>
    <w:rsid w:val="0050613F"/>
    <w:rsid w:val="00506BF0"/>
    <w:rsid w:val="005070B4"/>
    <w:rsid w:val="00507314"/>
    <w:rsid w:val="00507326"/>
    <w:rsid w:val="005076ED"/>
    <w:rsid w:val="00507F2F"/>
    <w:rsid w:val="005108C0"/>
    <w:rsid w:val="00510AB0"/>
    <w:rsid w:val="00510AEB"/>
    <w:rsid w:val="00510E8E"/>
    <w:rsid w:val="00510EDA"/>
    <w:rsid w:val="0051117E"/>
    <w:rsid w:val="00511721"/>
    <w:rsid w:val="00511AC2"/>
    <w:rsid w:val="00511B07"/>
    <w:rsid w:val="00511D32"/>
    <w:rsid w:val="005131B2"/>
    <w:rsid w:val="00513A26"/>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27903"/>
    <w:rsid w:val="005309C8"/>
    <w:rsid w:val="00530B5C"/>
    <w:rsid w:val="005317E9"/>
    <w:rsid w:val="00532E97"/>
    <w:rsid w:val="00532EC7"/>
    <w:rsid w:val="005349E0"/>
    <w:rsid w:val="005353E4"/>
    <w:rsid w:val="005361D8"/>
    <w:rsid w:val="0053639D"/>
    <w:rsid w:val="00536CB5"/>
    <w:rsid w:val="005370DE"/>
    <w:rsid w:val="005376F3"/>
    <w:rsid w:val="00537852"/>
    <w:rsid w:val="0053793A"/>
    <w:rsid w:val="005402D3"/>
    <w:rsid w:val="00540561"/>
    <w:rsid w:val="0054062F"/>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AE5"/>
    <w:rsid w:val="00563C19"/>
    <w:rsid w:val="00563F84"/>
    <w:rsid w:val="00564226"/>
    <w:rsid w:val="00564444"/>
    <w:rsid w:val="00565718"/>
    <w:rsid w:val="00565759"/>
    <w:rsid w:val="005660EC"/>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4BBE"/>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CC0"/>
    <w:rsid w:val="0059103A"/>
    <w:rsid w:val="005918FA"/>
    <w:rsid w:val="00591DDA"/>
    <w:rsid w:val="005922EE"/>
    <w:rsid w:val="00592A86"/>
    <w:rsid w:val="00592EDA"/>
    <w:rsid w:val="00593845"/>
    <w:rsid w:val="0059405C"/>
    <w:rsid w:val="00594180"/>
    <w:rsid w:val="005946C9"/>
    <w:rsid w:val="00595EDF"/>
    <w:rsid w:val="00595F0A"/>
    <w:rsid w:val="00595F13"/>
    <w:rsid w:val="00596C2E"/>
    <w:rsid w:val="00596CB7"/>
    <w:rsid w:val="005972A3"/>
    <w:rsid w:val="005A0288"/>
    <w:rsid w:val="005A0AA5"/>
    <w:rsid w:val="005A1088"/>
    <w:rsid w:val="005A1CC3"/>
    <w:rsid w:val="005A2BE0"/>
    <w:rsid w:val="005A3E1A"/>
    <w:rsid w:val="005A424E"/>
    <w:rsid w:val="005A5374"/>
    <w:rsid w:val="005A5B49"/>
    <w:rsid w:val="005A5C6C"/>
    <w:rsid w:val="005A5C97"/>
    <w:rsid w:val="005A5DDE"/>
    <w:rsid w:val="005A75D4"/>
    <w:rsid w:val="005B0686"/>
    <w:rsid w:val="005B069D"/>
    <w:rsid w:val="005B141D"/>
    <w:rsid w:val="005B1C20"/>
    <w:rsid w:val="005B2336"/>
    <w:rsid w:val="005B2D81"/>
    <w:rsid w:val="005B3029"/>
    <w:rsid w:val="005B3C34"/>
    <w:rsid w:val="005B427A"/>
    <w:rsid w:val="005B4801"/>
    <w:rsid w:val="005B5043"/>
    <w:rsid w:val="005B50B9"/>
    <w:rsid w:val="005B572E"/>
    <w:rsid w:val="005B5A1A"/>
    <w:rsid w:val="005B5CB2"/>
    <w:rsid w:val="005B5E37"/>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511A"/>
    <w:rsid w:val="005C53E5"/>
    <w:rsid w:val="005C577B"/>
    <w:rsid w:val="005C581D"/>
    <w:rsid w:val="005C5F87"/>
    <w:rsid w:val="005C602F"/>
    <w:rsid w:val="005C608A"/>
    <w:rsid w:val="005C6819"/>
    <w:rsid w:val="005C69B5"/>
    <w:rsid w:val="005C6EAC"/>
    <w:rsid w:val="005C725D"/>
    <w:rsid w:val="005C7B24"/>
    <w:rsid w:val="005D00D9"/>
    <w:rsid w:val="005D0A32"/>
    <w:rsid w:val="005D1605"/>
    <w:rsid w:val="005D1CDF"/>
    <w:rsid w:val="005D26BA"/>
    <w:rsid w:val="005D2B88"/>
    <w:rsid w:val="005D2BB7"/>
    <w:rsid w:val="005D4470"/>
    <w:rsid w:val="005D5AE4"/>
    <w:rsid w:val="005D67F7"/>
    <w:rsid w:val="005D69A2"/>
    <w:rsid w:val="005D6FFE"/>
    <w:rsid w:val="005D76B1"/>
    <w:rsid w:val="005D7DD2"/>
    <w:rsid w:val="005E0007"/>
    <w:rsid w:val="005E123F"/>
    <w:rsid w:val="005E2228"/>
    <w:rsid w:val="005E3292"/>
    <w:rsid w:val="005E338D"/>
    <w:rsid w:val="005E3E18"/>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1022"/>
    <w:rsid w:val="005F365E"/>
    <w:rsid w:val="005F37F5"/>
    <w:rsid w:val="005F4B83"/>
    <w:rsid w:val="005F4CA1"/>
    <w:rsid w:val="005F52FC"/>
    <w:rsid w:val="005F57CF"/>
    <w:rsid w:val="005F5F6A"/>
    <w:rsid w:val="005F6419"/>
    <w:rsid w:val="005F652A"/>
    <w:rsid w:val="005F6FFA"/>
    <w:rsid w:val="005F7FB1"/>
    <w:rsid w:val="006002B8"/>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5EA"/>
    <w:rsid w:val="00620890"/>
    <w:rsid w:val="00621049"/>
    <w:rsid w:val="00621419"/>
    <w:rsid w:val="0062272A"/>
    <w:rsid w:val="006231C4"/>
    <w:rsid w:val="00623C47"/>
    <w:rsid w:val="00623D65"/>
    <w:rsid w:val="00624589"/>
    <w:rsid w:val="00624FD2"/>
    <w:rsid w:val="006252E0"/>
    <w:rsid w:val="00625622"/>
    <w:rsid w:val="00626C69"/>
    <w:rsid w:val="00627E19"/>
    <w:rsid w:val="00630D78"/>
    <w:rsid w:val="00632D29"/>
    <w:rsid w:val="00632DB3"/>
    <w:rsid w:val="006332C6"/>
    <w:rsid w:val="006338B1"/>
    <w:rsid w:val="00634345"/>
    <w:rsid w:val="00635260"/>
    <w:rsid w:val="00635C56"/>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1C0D"/>
    <w:rsid w:val="00652DFE"/>
    <w:rsid w:val="006540C7"/>
    <w:rsid w:val="006540D2"/>
    <w:rsid w:val="006543C2"/>
    <w:rsid w:val="006559C8"/>
    <w:rsid w:val="00655BF8"/>
    <w:rsid w:val="00657899"/>
    <w:rsid w:val="00660269"/>
    <w:rsid w:val="00660D1F"/>
    <w:rsid w:val="0066140E"/>
    <w:rsid w:val="006615ED"/>
    <w:rsid w:val="0066170F"/>
    <w:rsid w:val="006621FF"/>
    <w:rsid w:val="0066362E"/>
    <w:rsid w:val="006645B8"/>
    <w:rsid w:val="006647B6"/>
    <w:rsid w:val="006647C2"/>
    <w:rsid w:val="00664950"/>
    <w:rsid w:val="00665323"/>
    <w:rsid w:val="0066579F"/>
    <w:rsid w:val="00666760"/>
    <w:rsid w:val="0066694D"/>
    <w:rsid w:val="00667B77"/>
    <w:rsid w:val="00667DD9"/>
    <w:rsid w:val="00667F08"/>
    <w:rsid w:val="00671A2E"/>
    <w:rsid w:val="00672043"/>
    <w:rsid w:val="00672488"/>
    <w:rsid w:val="006729E2"/>
    <w:rsid w:val="00672A03"/>
    <w:rsid w:val="00672B07"/>
    <w:rsid w:val="0067350C"/>
    <w:rsid w:val="00674206"/>
    <w:rsid w:val="0067489F"/>
    <w:rsid w:val="006758B6"/>
    <w:rsid w:val="006762EB"/>
    <w:rsid w:val="00676EE8"/>
    <w:rsid w:val="00676F57"/>
    <w:rsid w:val="00677408"/>
    <w:rsid w:val="00680060"/>
    <w:rsid w:val="00680C76"/>
    <w:rsid w:val="00680E64"/>
    <w:rsid w:val="0068114E"/>
    <w:rsid w:val="00681F4D"/>
    <w:rsid w:val="0068248D"/>
    <w:rsid w:val="00682CDB"/>
    <w:rsid w:val="00683220"/>
    <w:rsid w:val="00683FF9"/>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0BE"/>
    <w:rsid w:val="00694EB3"/>
    <w:rsid w:val="006951D0"/>
    <w:rsid w:val="00696B13"/>
    <w:rsid w:val="00696CFD"/>
    <w:rsid w:val="00696E64"/>
    <w:rsid w:val="00697030"/>
    <w:rsid w:val="00697A57"/>
    <w:rsid w:val="006A02FC"/>
    <w:rsid w:val="006A1FF2"/>
    <w:rsid w:val="006A3970"/>
    <w:rsid w:val="006A3C11"/>
    <w:rsid w:val="006A56A9"/>
    <w:rsid w:val="006A5DEE"/>
    <w:rsid w:val="006A5F66"/>
    <w:rsid w:val="006A7118"/>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1490"/>
    <w:rsid w:val="006C2E17"/>
    <w:rsid w:val="006C3095"/>
    <w:rsid w:val="006C3174"/>
    <w:rsid w:val="006C368C"/>
    <w:rsid w:val="006C466E"/>
    <w:rsid w:val="006C49B7"/>
    <w:rsid w:val="006C4D5A"/>
    <w:rsid w:val="006C57EF"/>
    <w:rsid w:val="006C6A06"/>
    <w:rsid w:val="006C70AF"/>
    <w:rsid w:val="006C73AF"/>
    <w:rsid w:val="006D0983"/>
    <w:rsid w:val="006D2703"/>
    <w:rsid w:val="006D3241"/>
    <w:rsid w:val="006D3518"/>
    <w:rsid w:val="006D4068"/>
    <w:rsid w:val="006D4139"/>
    <w:rsid w:val="006D4560"/>
    <w:rsid w:val="006D5774"/>
    <w:rsid w:val="006D6D39"/>
    <w:rsid w:val="006D6EE6"/>
    <w:rsid w:val="006D6FB2"/>
    <w:rsid w:val="006E0A91"/>
    <w:rsid w:val="006E0F44"/>
    <w:rsid w:val="006E1151"/>
    <w:rsid w:val="006E1220"/>
    <w:rsid w:val="006E2C47"/>
    <w:rsid w:val="006E3912"/>
    <w:rsid w:val="006E4AF3"/>
    <w:rsid w:val="006E56FD"/>
    <w:rsid w:val="006E5C72"/>
    <w:rsid w:val="006E6311"/>
    <w:rsid w:val="006E6C59"/>
    <w:rsid w:val="006E6D66"/>
    <w:rsid w:val="006E7235"/>
    <w:rsid w:val="006E7AF2"/>
    <w:rsid w:val="006F0BAB"/>
    <w:rsid w:val="006F25EE"/>
    <w:rsid w:val="006F29C6"/>
    <w:rsid w:val="006F2C5C"/>
    <w:rsid w:val="006F2C71"/>
    <w:rsid w:val="006F307E"/>
    <w:rsid w:val="006F384B"/>
    <w:rsid w:val="006F3B58"/>
    <w:rsid w:val="006F42ED"/>
    <w:rsid w:val="006F5F53"/>
    <w:rsid w:val="006F7479"/>
    <w:rsid w:val="006F7B48"/>
    <w:rsid w:val="007001D7"/>
    <w:rsid w:val="00700B67"/>
    <w:rsid w:val="00700CBC"/>
    <w:rsid w:val="00700EC3"/>
    <w:rsid w:val="00701175"/>
    <w:rsid w:val="00701D2D"/>
    <w:rsid w:val="00701E8B"/>
    <w:rsid w:val="0070224A"/>
    <w:rsid w:val="00704372"/>
    <w:rsid w:val="00704C7A"/>
    <w:rsid w:val="00704E2F"/>
    <w:rsid w:val="007056DF"/>
    <w:rsid w:val="007108FA"/>
    <w:rsid w:val="00711E61"/>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206E"/>
    <w:rsid w:val="00722BCC"/>
    <w:rsid w:val="00724892"/>
    <w:rsid w:val="0072536D"/>
    <w:rsid w:val="00725765"/>
    <w:rsid w:val="00725EAC"/>
    <w:rsid w:val="007264F6"/>
    <w:rsid w:val="0073018C"/>
    <w:rsid w:val="007304FE"/>
    <w:rsid w:val="00730EE9"/>
    <w:rsid w:val="007314B3"/>
    <w:rsid w:val="007317D4"/>
    <w:rsid w:val="00731CAD"/>
    <w:rsid w:val="00732237"/>
    <w:rsid w:val="00732278"/>
    <w:rsid w:val="007325AA"/>
    <w:rsid w:val="00732D66"/>
    <w:rsid w:val="0073321B"/>
    <w:rsid w:val="00733739"/>
    <w:rsid w:val="00733B21"/>
    <w:rsid w:val="00734214"/>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A3C"/>
    <w:rsid w:val="007449D8"/>
    <w:rsid w:val="0074500D"/>
    <w:rsid w:val="007450F1"/>
    <w:rsid w:val="007457C8"/>
    <w:rsid w:val="0074604E"/>
    <w:rsid w:val="0074655A"/>
    <w:rsid w:val="007466AC"/>
    <w:rsid w:val="00746714"/>
    <w:rsid w:val="00750658"/>
    <w:rsid w:val="00750C0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73D"/>
    <w:rsid w:val="00760B40"/>
    <w:rsid w:val="00760FB6"/>
    <w:rsid w:val="0076104D"/>
    <w:rsid w:val="0076136E"/>
    <w:rsid w:val="007617B9"/>
    <w:rsid w:val="00761AA0"/>
    <w:rsid w:val="007620E3"/>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7A76"/>
    <w:rsid w:val="00767E53"/>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247"/>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7B7"/>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720"/>
    <w:rsid w:val="007D3ACA"/>
    <w:rsid w:val="007D44E8"/>
    <w:rsid w:val="007D4CA2"/>
    <w:rsid w:val="007D4CC8"/>
    <w:rsid w:val="007D4F43"/>
    <w:rsid w:val="007D5436"/>
    <w:rsid w:val="007D6665"/>
    <w:rsid w:val="007D6A8B"/>
    <w:rsid w:val="007D7CA1"/>
    <w:rsid w:val="007E03CC"/>
    <w:rsid w:val="007E0651"/>
    <w:rsid w:val="007E07B1"/>
    <w:rsid w:val="007E0C3E"/>
    <w:rsid w:val="007E1E2E"/>
    <w:rsid w:val="007E1E9B"/>
    <w:rsid w:val="007E2A65"/>
    <w:rsid w:val="007E2FC3"/>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1450"/>
    <w:rsid w:val="00801C05"/>
    <w:rsid w:val="00802099"/>
    <w:rsid w:val="00802553"/>
    <w:rsid w:val="00802C9C"/>
    <w:rsid w:val="008030B4"/>
    <w:rsid w:val="008033FB"/>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973"/>
    <w:rsid w:val="00814DC9"/>
    <w:rsid w:val="008156D7"/>
    <w:rsid w:val="00815B1F"/>
    <w:rsid w:val="00815BBB"/>
    <w:rsid w:val="00815F9F"/>
    <w:rsid w:val="008165ED"/>
    <w:rsid w:val="0081669A"/>
    <w:rsid w:val="00816941"/>
    <w:rsid w:val="00816C80"/>
    <w:rsid w:val="00817215"/>
    <w:rsid w:val="0081797B"/>
    <w:rsid w:val="00817E52"/>
    <w:rsid w:val="008208AA"/>
    <w:rsid w:val="00820ED0"/>
    <w:rsid w:val="0082116C"/>
    <w:rsid w:val="0082129B"/>
    <w:rsid w:val="008227DE"/>
    <w:rsid w:val="00822BF4"/>
    <w:rsid w:val="00822D36"/>
    <w:rsid w:val="00822F6F"/>
    <w:rsid w:val="0082314A"/>
    <w:rsid w:val="00823911"/>
    <w:rsid w:val="00823AFC"/>
    <w:rsid w:val="00823E68"/>
    <w:rsid w:val="00824267"/>
    <w:rsid w:val="008252B9"/>
    <w:rsid w:val="0082576C"/>
    <w:rsid w:val="00825913"/>
    <w:rsid w:val="00825CD8"/>
    <w:rsid w:val="00825D48"/>
    <w:rsid w:val="008261AA"/>
    <w:rsid w:val="008263DA"/>
    <w:rsid w:val="0082796A"/>
    <w:rsid w:val="00827E6F"/>
    <w:rsid w:val="00827F2C"/>
    <w:rsid w:val="008302AA"/>
    <w:rsid w:val="0083071A"/>
    <w:rsid w:val="00831095"/>
    <w:rsid w:val="008310C4"/>
    <w:rsid w:val="008311BA"/>
    <w:rsid w:val="00831D5E"/>
    <w:rsid w:val="00831E08"/>
    <w:rsid w:val="00832081"/>
    <w:rsid w:val="00832489"/>
    <w:rsid w:val="00834004"/>
    <w:rsid w:val="008345BF"/>
    <w:rsid w:val="00835551"/>
    <w:rsid w:val="00836608"/>
    <w:rsid w:val="0083707A"/>
    <w:rsid w:val="0083742E"/>
    <w:rsid w:val="0083791C"/>
    <w:rsid w:val="00837D66"/>
    <w:rsid w:val="0084039E"/>
    <w:rsid w:val="00840D31"/>
    <w:rsid w:val="008412CA"/>
    <w:rsid w:val="00841BCD"/>
    <w:rsid w:val="008425BE"/>
    <w:rsid w:val="008435CF"/>
    <w:rsid w:val="00843F8E"/>
    <w:rsid w:val="008445B5"/>
    <w:rsid w:val="0084486C"/>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157C"/>
    <w:rsid w:val="0087218C"/>
    <w:rsid w:val="00872250"/>
    <w:rsid w:val="0087258F"/>
    <w:rsid w:val="008732C7"/>
    <w:rsid w:val="008733E5"/>
    <w:rsid w:val="00873690"/>
    <w:rsid w:val="00873AE6"/>
    <w:rsid w:val="00873F29"/>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8B5"/>
    <w:rsid w:val="00892F7D"/>
    <w:rsid w:val="00893D2E"/>
    <w:rsid w:val="00894B91"/>
    <w:rsid w:val="00894CE3"/>
    <w:rsid w:val="0089542B"/>
    <w:rsid w:val="0089594E"/>
    <w:rsid w:val="00895E4D"/>
    <w:rsid w:val="00895F51"/>
    <w:rsid w:val="008972C7"/>
    <w:rsid w:val="008975AF"/>
    <w:rsid w:val="00897AE8"/>
    <w:rsid w:val="00897CEB"/>
    <w:rsid w:val="00897F5E"/>
    <w:rsid w:val="008A0942"/>
    <w:rsid w:val="008A0C46"/>
    <w:rsid w:val="008A0DC5"/>
    <w:rsid w:val="008A0EBA"/>
    <w:rsid w:val="008A1543"/>
    <w:rsid w:val="008A1B5E"/>
    <w:rsid w:val="008A1BF7"/>
    <w:rsid w:val="008A1E45"/>
    <w:rsid w:val="008A2DF4"/>
    <w:rsid w:val="008A3C48"/>
    <w:rsid w:val="008A4302"/>
    <w:rsid w:val="008A47C4"/>
    <w:rsid w:val="008A5ACE"/>
    <w:rsid w:val="008A5B0E"/>
    <w:rsid w:val="008A5E9D"/>
    <w:rsid w:val="008A602D"/>
    <w:rsid w:val="008A6BED"/>
    <w:rsid w:val="008A7D0C"/>
    <w:rsid w:val="008B074F"/>
    <w:rsid w:val="008B0961"/>
    <w:rsid w:val="008B1E0C"/>
    <w:rsid w:val="008B1E21"/>
    <w:rsid w:val="008B1F8B"/>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18EB"/>
    <w:rsid w:val="008D1D4C"/>
    <w:rsid w:val="008D28BC"/>
    <w:rsid w:val="008D2B0A"/>
    <w:rsid w:val="008D312C"/>
    <w:rsid w:val="008D31EA"/>
    <w:rsid w:val="008D3947"/>
    <w:rsid w:val="008D41DF"/>
    <w:rsid w:val="008D4B6C"/>
    <w:rsid w:val="008D4C9B"/>
    <w:rsid w:val="008D4C9E"/>
    <w:rsid w:val="008D4DD4"/>
    <w:rsid w:val="008D5FFE"/>
    <w:rsid w:val="008D7FE8"/>
    <w:rsid w:val="008E0B6C"/>
    <w:rsid w:val="008E0E7F"/>
    <w:rsid w:val="008E1906"/>
    <w:rsid w:val="008E1CA3"/>
    <w:rsid w:val="008E2848"/>
    <w:rsid w:val="008E350E"/>
    <w:rsid w:val="008E397A"/>
    <w:rsid w:val="008E3CCA"/>
    <w:rsid w:val="008E3F22"/>
    <w:rsid w:val="008E41A0"/>
    <w:rsid w:val="008E459F"/>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6488"/>
    <w:rsid w:val="008F6A88"/>
    <w:rsid w:val="008F770E"/>
    <w:rsid w:val="00900100"/>
    <w:rsid w:val="0090091A"/>
    <w:rsid w:val="00901C29"/>
    <w:rsid w:val="0090248C"/>
    <w:rsid w:val="00902DC7"/>
    <w:rsid w:val="00903080"/>
    <w:rsid w:val="0090336F"/>
    <w:rsid w:val="0090373B"/>
    <w:rsid w:val="0090421F"/>
    <w:rsid w:val="009042BD"/>
    <w:rsid w:val="00904A79"/>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4653"/>
    <w:rsid w:val="00915FBF"/>
    <w:rsid w:val="00916550"/>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5BBC"/>
    <w:rsid w:val="00927057"/>
    <w:rsid w:val="009270E1"/>
    <w:rsid w:val="00927401"/>
    <w:rsid w:val="00927740"/>
    <w:rsid w:val="00927985"/>
    <w:rsid w:val="0093091D"/>
    <w:rsid w:val="00931879"/>
    <w:rsid w:val="0093260A"/>
    <w:rsid w:val="00933620"/>
    <w:rsid w:val="0093387F"/>
    <w:rsid w:val="00933F32"/>
    <w:rsid w:val="009346D3"/>
    <w:rsid w:val="00934709"/>
    <w:rsid w:val="00936159"/>
    <w:rsid w:val="00936814"/>
    <w:rsid w:val="0093762F"/>
    <w:rsid w:val="00940E93"/>
    <w:rsid w:val="0094141D"/>
    <w:rsid w:val="00941A55"/>
    <w:rsid w:val="00943A25"/>
    <w:rsid w:val="00943A8F"/>
    <w:rsid w:val="00943BE8"/>
    <w:rsid w:val="009446DF"/>
    <w:rsid w:val="00944A98"/>
    <w:rsid w:val="00945411"/>
    <w:rsid w:val="00945827"/>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ACF"/>
    <w:rsid w:val="00961E5B"/>
    <w:rsid w:val="00962840"/>
    <w:rsid w:val="00963C9F"/>
    <w:rsid w:val="009655ED"/>
    <w:rsid w:val="009657D0"/>
    <w:rsid w:val="00965F6D"/>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2422"/>
    <w:rsid w:val="009838BD"/>
    <w:rsid w:val="009838C9"/>
    <w:rsid w:val="00984584"/>
    <w:rsid w:val="0098754A"/>
    <w:rsid w:val="00987A8A"/>
    <w:rsid w:val="00987D7B"/>
    <w:rsid w:val="00990485"/>
    <w:rsid w:val="009905C7"/>
    <w:rsid w:val="00990952"/>
    <w:rsid w:val="00991872"/>
    <w:rsid w:val="009918F2"/>
    <w:rsid w:val="00991DF6"/>
    <w:rsid w:val="0099244D"/>
    <w:rsid w:val="0099269C"/>
    <w:rsid w:val="009935B9"/>
    <w:rsid w:val="00993857"/>
    <w:rsid w:val="009939E4"/>
    <w:rsid w:val="00994FFF"/>
    <w:rsid w:val="00995C88"/>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4CB0"/>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9D0"/>
    <w:rsid w:val="009C5AA4"/>
    <w:rsid w:val="009C5B61"/>
    <w:rsid w:val="009C5E96"/>
    <w:rsid w:val="009C62FF"/>
    <w:rsid w:val="009C6B62"/>
    <w:rsid w:val="009C6F65"/>
    <w:rsid w:val="009C717B"/>
    <w:rsid w:val="009C74C5"/>
    <w:rsid w:val="009C7F4E"/>
    <w:rsid w:val="009D0216"/>
    <w:rsid w:val="009D18A5"/>
    <w:rsid w:val="009D190C"/>
    <w:rsid w:val="009D1932"/>
    <w:rsid w:val="009D1B3F"/>
    <w:rsid w:val="009D21A6"/>
    <w:rsid w:val="009D2224"/>
    <w:rsid w:val="009D2E63"/>
    <w:rsid w:val="009D3747"/>
    <w:rsid w:val="009D38C0"/>
    <w:rsid w:val="009D52B8"/>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4765"/>
    <w:rsid w:val="009F6ADE"/>
    <w:rsid w:val="009F773D"/>
    <w:rsid w:val="009F7E6C"/>
    <w:rsid w:val="00A01F0C"/>
    <w:rsid w:val="00A021DE"/>
    <w:rsid w:val="00A022A3"/>
    <w:rsid w:val="00A03C43"/>
    <w:rsid w:val="00A04992"/>
    <w:rsid w:val="00A0714F"/>
    <w:rsid w:val="00A072C2"/>
    <w:rsid w:val="00A11634"/>
    <w:rsid w:val="00A11CB3"/>
    <w:rsid w:val="00A12035"/>
    <w:rsid w:val="00A128C6"/>
    <w:rsid w:val="00A13A95"/>
    <w:rsid w:val="00A13ADF"/>
    <w:rsid w:val="00A13F8D"/>
    <w:rsid w:val="00A147AA"/>
    <w:rsid w:val="00A17AE7"/>
    <w:rsid w:val="00A2029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3C"/>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5FF5"/>
    <w:rsid w:val="00A4737F"/>
    <w:rsid w:val="00A473BE"/>
    <w:rsid w:val="00A500C1"/>
    <w:rsid w:val="00A503A7"/>
    <w:rsid w:val="00A50529"/>
    <w:rsid w:val="00A50A8E"/>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1F5B"/>
    <w:rsid w:val="00A62569"/>
    <w:rsid w:val="00A62D53"/>
    <w:rsid w:val="00A633A9"/>
    <w:rsid w:val="00A64B68"/>
    <w:rsid w:val="00A64DA0"/>
    <w:rsid w:val="00A6515E"/>
    <w:rsid w:val="00A653CD"/>
    <w:rsid w:val="00A657A0"/>
    <w:rsid w:val="00A65E21"/>
    <w:rsid w:val="00A66A37"/>
    <w:rsid w:val="00A66BB9"/>
    <w:rsid w:val="00A676DA"/>
    <w:rsid w:val="00A6778E"/>
    <w:rsid w:val="00A70418"/>
    <w:rsid w:val="00A71A3D"/>
    <w:rsid w:val="00A71C93"/>
    <w:rsid w:val="00A71EDA"/>
    <w:rsid w:val="00A72415"/>
    <w:rsid w:val="00A7278B"/>
    <w:rsid w:val="00A7327C"/>
    <w:rsid w:val="00A733A1"/>
    <w:rsid w:val="00A7362F"/>
    <w:rsid w:val="00A748B6"/>
    <w:rsid w:val="00A74A77"/>
    <w:rsid w:val="00A74F39"/>
    <w:rsid w:val="00A75179"/>
    <w:rsid w:val="00A76307"/>
    <w:rsid w:val="00A76466"/>
    <w:rsid w:val="00A769F4"/>
    <w:rsid w:val="00A77632"/>
    <w:rsid w:val="00A77DD6"/>
    <w:rsid w:val="00A806F8"/>
    <w:rsid w:val="00A80C64"/>
    <w:rsid w:val="00A819A1"/>
    <w:rsid w:val="00A823CC"/>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874"/>
    <w:rsid w:val="00A92BCD"/>
    <w:rsid w:val="00A938A5"/>
    <w:rsid w:val="00A93B26"/>
    <w:rsid w:val="00A94D71"/>
    <w:rsid w:val="00A96F2E"/>
    <w:rsid w:val="00A97053"/>
    <w:rsid w:val="00A970D3"/>
    <w:rsid w:val="00A973E0"/>
    <w:rsid w:val="00A975A5"/>
    <w:rsid w:val="00AA052B"/>
    <w:rsid w:val="00AA06C1"/>
    <w:rsid w:val="00AA1185"/>
    <w:rsid w:val="00AA1B0E"/>
    <w:rsid w:val="00AA2306"/>
    <w:rsid w:val="00AA253D"/>
    <w:rsid w:val="00AA3175"/>
    <w:rsid w:val="00AA3DD1"/>
    <w:rsid w:val="00AA3DE9"/>
    <w:rsid w:val="00AA431B"/>
    <w:rsid w:val="00AA460C"/>
    <w:rsid w:val="00AA47B6"/>
    <w:rsid w:val="00AA6258"/>
    <w:rsid w:val="00AA6C13"/>
    <w:rsid w:val="00AA6C6E"/>
    <w:rsid w:val="00AB013C"/>
    <w:rsid w:val="00AB01D5"/>
    <w:rsid w:val="00AB0DCA"/>
    <w:rsid w:val="00AB2545"/>
    <w:rsid w:val="00AB25B6"/>
    <w:rsid w:val="00AB2B36"/>
    <w:rsid w:val="00AB482C"/>
    <w:rsid w:val="00AB49D4"/>
    <w:rsid w:val="00AB4D89"/>
    <w:rsid w:val="00AB5B6D"/>
    <w:rsid w:val="00AB5C58"/>
    <w:rsid w:val="00AB61E3"/>
    <w:rsid w:val="00AB6F50"/>
    <w:rsid w:val="00AB7379"/>
    <w:rsid w:val="00AC0DA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C7EA8"/>
    <w:rsid w:val="00AD0272"/>
    <w:rsid w:val="00AD0672"/>
    <w:rsid w:val="00AD1190"/>
    <w:rsid w:val="00AD1489"/>
    <w:rsid w:val="00AD1833"/>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38CF"/>
    <w:rsid w:val="00AE56B1"/>
    <w:rsid w:val="00AE5803"/>
    <w:rsid w:val="00AE5E1C"/>
    <w:rsid w:val="00AE6051"/>
    <w:rsid w:val="00AE6D09"/>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1D47"/>
    <w:rsid w:val="00B01DEA"/>
    <w:rsid w:val="00B02070"/>
    <w:rsid w:val="00B02354"/>
    <w:rsid w:val="00B02C41"/>
    <w:rsid w:val="00B03269"/>
    <w:rsid w:val="00B03346"/>
    <w:rsid w:val="00B03907"/>
    <w:rsid w:val="00B0395A"/>
    <w:rsid w:val="00B048DD"/>
    <w:rsid w:val="00B04F1D"/>
    <w:rsid w:val="00B05CDB"/>
    <w:rsid w:val="00B06658"/>
    <w:rsid w:val="00B074E1"/>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5FED"/>
    <w:rsid w:val="00B1647C"/>
    <w:rsid w:val="00B16836"/>
    <w:rsid w:val="00B1714B"/>
    <w:rsid w:val="00B2231B"/>
    <w:rsid w:val="00B22C17"/>
    <w:rsid w:val="00B23577"/>
    <w:rsid w:val="00B23957"/>
    <w:rsid w:val="00B24249"/>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637C"/>
    <w:rsid w:val="00B37D10"/>
    <w:rsid w:val="00B403CE"/>
    <w:rsid w:val="00B408B6"/>
    <w:rsid w:val="00B4132D"/>
    <w:rsid w:val="00B41407"/>
    <w:rsid w:val="00B41792"/>
    <w:rsid w:val="00B41EF1"/>
    <w:rsid w:val="00B42115"/>
    <w:rsid w:val="00B421F6"/>
    <w:rsid w:val="00B42409"/>
    <w:rsid w:val="00B4373C"/>
    <w:rsid w:val="00B43C9E"/>
    <w:rsid w:val="00B44104"/>
    <w:rsid w:val="00B45AC0"/>
    <w:rsid w:val="00B4639D"/>
    <w:rsid w:val="00B46463"/>
    <w:rsid w:val="00B46A57"/>
    <w:rsid w:val="00B477A2"/>
    <w:rsid w:val="00B507A7"/>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915"/>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A17"/>
    <w:rsid w:val="00B74F1C"/>
    <w:rsid w:val="00B75BBF"/>
    <w:rsid w:val="00B76047"/>
    <w:rsid w:val="00B76476"/>
    <w:rsid w:val="00B76FF5"/>
    <w:rsid w:val="00B77A0E"/>
    <w:rsid w:val="00B77E5F"/>
    <w:rsid w:val="00B77E8B"/>
    <w:rsid w:val="00B807FA"/>
    <w:rsid w:val="00B80BD3"/>
    <w:rsid w:val="00B81CDC"/>
    <w:rsid w:val="00B82335"/>
    <w:rsid w:val="00B82976"/>
    <w:rsid w:val="00B849FC"/>
    <w:rsid w:val="00B85517"/>
    <w:rsid w:val="00B85643"/>
    <w:rsid w:val="00B85B9A"/>
    <w:rsid w:val="00B90015"/>
    <w:rsid w:val="00B90786"/>
    <w:rsid w:val="00B90CB1"/>
    <w:rsid w:val="00B90D69"/>
    <w:rsid w:val="00B913D0"/>
    <w:rsid w:val="00B914A5"/>
    <w:rsid w:val="00B91FD2"/>
    <w:rsid w:val="00B922BE"/>
    <w:rsid w:val="00B922FF"/>
    <w:rsid w:val="00B9237A"/>
    <w:rsid w:val="00B92D8F"/>
    <w:rsid w:val="00B92DDA"/>
    <w:rsid w:val="00B931E0"/>
    <w:rsid w:val="00B93735"/>
    <w:rsid w:val="00B93E07"/>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04"/>
    <w:rsid w:val="00BA6E48"/>
    <w:rsid w:val="00BA79A3"/>
    <w:rsid w:val="00BB02BC"/>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DE8"/>
    <w:rsid w:val="00BC04A9"/>
    <w:rsid w:val="00BC0EC6"/>
    <w:rsid w:val="00BC0F9B"/>
    <w:rsid w:val="00BC36C7"/>
    <w:rsid w:val="00BC385D"/>
    <w:rsid w:val="00BC3888"/>
    <w:rsid w:val="00BC4D7E"/>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781"/>
    <w:rsid w:val="00BD3C08"/>
    <w:rsid w:val="00BD4201"/>
    <w:rsid w:val="00BD4276"/>
    <w:rsid w:val="00BD48FB"/>
    <w:rsid w:val="00BD4CC6"/>
    <w:rsid w:val="00BD5147"/>
    <w:rsid w:val="00BD547E"/>
    <w:rsid w:val="00BD566E"/>
    <w:rsid w:val="00BD65B8"/>
    <w:rsid w:val="00BD6D80"/>
    <w:rsid w:val="00BD7583"/>
    <w:rsid w:val="00BD7699"/>
    <w:rsid w:val="00BE098C"/>
    <w:rsid w:val="00BE0AF6"/>
    <w:rsid w:val="00BE0DFE"/>
    <w:rsid w:val="00BE1278"/>
    <w:rsid w:val="00BE12C4"/>
    <w:rsid w:val="00BE13F0"/>
    <w:rsid w:val="00BE1F03"/>
    <w:rsid w:val="00BE277A"/>
    <w:rsid w:val="00BE382B"/>
    <w:rsid w:val="00BE3B8E"/>
    <w:rsid w:val="00BE4E76"/>
    <w:rsid w:val="00BE5292"/>
    <w:rsid w:val="00BE52B0"/>
    <w:rsid w:val="00BE5301"/>
    <w:rsid w:val="00BE58A7"/>
    <w:rsid w:val="00BE6883"/>
    <w:rsid w:val="00BE6E94"/>
    <w:rsid w:val="00BE7E98"/>
    <w:rsid w:val="00BF02E4"/>
    <w:rsid w:val="00BF056C"/>
    <w:rsid w:val="00BF10BD"/>
    <w:rsid w:val="00BF1D14"/>
    <w:rsid w:val="00BF2218"/>
    <w:rsid w:val="00BF3469"/>
    <w:rsid w:val="00BF439C"/>
    <w:rsid w:val="00BF4A1A"/>
    <w:rsid w:val="00BF4D4A"/>
    <w:rsid w:val="00BF4E92"/>
    <w:rsid w:val="00BF515D"/>
    <w:rsid w:val="00BF539E"/>
    <w:rsid w:val="00BF546F"/>
    <w:rsid w:val="00BF6A98"/>
    <w:rsid w:val="00BF77F1"/>
    <w:rsid w:val="00C0002B"/>
    <w:rsid w:val="00C007C2"/>
    <w:rsid w:val="00C008FD"/>
    <w:rsid w:val="00C00FCF"/>
    <w:rsid w:val="00C0245B"/>
    <w:rsid w:val="00C03D02"/>
    <w:rsid w:val="00C04011"/>
    <w:rsid w:val="00C0426B"/>
    <w:rsid w:val="00C045DF"/>
    <w:rsid w:val="00C04DC0"/>
    <w:rsid w:val="00C0500F"/>
    <w:rsid w:val="00C052D8"/>
    <w:rsid w:val="00C05371"/>
    <w:rsid w:val="00C0642E"/>
    <w:rsid w:val="00C06531"/>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03E"/>
    <w:rsid w:val="00C211B0"/>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D1"/>
    <w:rsid w:val="00C32B62"/>
    <w:rsid w:val="00C32CEB"/>
    <w:rsid w:val="00C33B76"/>
    <w:rsid w:val="00C34197"/>
    <w:rsid w:val="00C34D9F"/>
    <w:rsid w:val="00C35173"/>
    <w:rsid w:val="00C35292"/>
    <w:rsid w:val="00C35610"/>
    <w:rsid w:val="00C36552"/>
    <w:rsid w:val="00C36870"/>
    <w:rsid w:val="00C36B81"/>
    <w:rsid w:val="00C36EA4"/>
    <w:rsid w:val="00C37004"/>
    <w:rsid w:val="00C40B12"/>
    <w:rsid w:val="00C40DB6"/>
    <w:rsid w:val="00C410EF"/>
    <w:rsid w:val="00C41327"/>
    <w:rsid w:val="00C4234A"/>
    <w:rsid w:val="00C429ED"/>
    <w:rsid w:val="00C43C43"/>
    <w:rsid w:val="00C4413E"/>
    <w:rsid w:val="00C44272"/>
    <w:rsid w:val="00C4446A"/>
    <w:rsid w:val="00C44DA5"/>
    <w:rsid w:val="00C45FFA"/>
    <w:rsid w:val="00C46548"/>
    <w:rsid w:val="00C46DEA"/>
    <w:rsid w:val="00C474CF"/>
    <w:rsid w:val="00C47595"/>
    <w:rsid w:val="00C5076E"/>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1207"/>
    <w:rsid w:val="00C6202E"/>
    <w:rsid w:val="00C62151"/>
    <w:rsid w:val="00C6333F"/>
    <w:rsid w:val="00C638DB"/>
    <w:rsid w:val="00C63C7E"/>
    <w:rsid w:val="00C63ECD"/>
    <w:rsid w:val="00C64F2D"/>
    <w:rsid w:val="00C65194"/>
    <w:rsid w:val="00C65CE4"/>
    <w:rsid w:val="00C66099"/>
    <w:rsid w:val="00C660DD"/>
    <w:rsid w:val="00C668F0"/>
    <w:rsid w:val="00C6794C"/>
    <w:rsid w:val="00C67C1A"/>
    <w:rsid w:val="00C67DAC"/>
    <w:rsid w:val="00C67F49"/>
    <w:rsid w:val="00C71CB6"/>
    <w:rsid w:val="00C7220E"/>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A97"/>
    <w:rsid w:val="00C83EB4"/>
    <w:rsid w:val="00C8456F"/>
    <w:rsid w:val="00C84784"/>
    <w:rsid w:val="00C86157"/>
    <w:rsid w:val="00C86457"/>
    <w:rsid w:val="00C867B9"/>
    <w:rsid w:val="00C87198"/>
    <w:rsid w:val="00C87462"/>
    <w:rsid w:val="00C90253"/>
    <w:rsid w:val="00C944F4"/>
    <w:rsid w:val="00C9472A"/>
    <w:rsid w:val="00C948E9"/>
    <w:rsid w:val="00C94CBA"/>
    <w:rsid w:val="00C96085"/>
    <w:rsid w:val="00C96244"/>
    <w:rsid w:val="00C9688A"/>
    <w:rsid w:val="00CA180C"/>
    <w:rsid w:val="00CA2464"/>
    <w:rsid w:val="00CA2580"/>
    <w:rsid w:val="00CA2B33"/>
    <w:rsid w:val="00CA2FD2"/>
    <w:rsid w:val="00CA338E"/>
    <w:rsid w:val="00CA4400"/>
    <w:rsid w:val="00CA4D60"/>
    <w:rsid w:val="00CA4FCC"/>
    <w:rsid w:val="00CA5B75"/>
    <w:rsid w:val="00CA66F2"/>
    <w:rsid w:val="00CA7B26"/>
    <w:rsid w:val="00CA7F9C"/>
    <w:rsid w:val="00CB174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28C6"/>
    <w:rsid w:val="00CC340C"/>
    <w:rsid w:val="00CC3BDA"/>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065"/>
    <w:rsid w:val="00CE154E"/>
    <w:rsid w:val="00CE169C"/>
    <w:rsid w:val="00CE18F1"/>
    <w:rsid w:val="00CE1CCD"/>
    <w:rsid w:val="00CE29EB"/>
    <w:rsid w:val="00CE3654"/>
    <w:rsid w:val="00CE37F0"/>
    <w:rsid w:val="00CE3A17"/>
    <w:rsid w:val="00CE3A6B"/>
    <w:rsid w:val="00CE3B34"/>
    <w:rsid w:val="00CE588C"/>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CF663F"/>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58B"/>
    <w:rsid w:val="00D07673"/>
    <w:rsid w:val="00D07CF8"/>
    <w:rsid w:val="00D100CE"/>
    <w:rsid w:val="00D11173"/>
    <w:rsid w:val="00D11317"/>
    <w:rsid w:val="00D11E9C"/>
    <w:rsid w:val="00D125B6"/>
    <w:rsid w:val="00D12828"/>
    <w:rsid w:val="00D13A83"/>
    <w:rsid w:val="00D147A6"/>
    <w:rsid w:val="00D147E5"/>
    <w:rsid w:val="00D1513E"/>
    <w:rsid w:val="00D157F9"/>
    <w:rsid w:val="00D160AD"/>
    <w:rsid w:val="00D1640F"/>
    <w:rsid w:val="00D17773"/>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6FC0"/>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920"/>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235"/>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5B8"/>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9D9"/>
    <w:rsid w:val="00D90D88"/>
    <w:rsid w:val="00D91168"/>
    <w:rsid w:val="00D92364"/>
    <w:rsid w:val="00D92479"/>
    <w:rsid w:val="00D9297F"/>
    <w:rsid w:val="00D934F9"/>
    <w:rsid w:val="00D94CC5"/>
    <w:rsid w:val="00D9538E"/>
    <w:rsid w:val="00D95481"/>
    <w:rsid w:val="00D95A41"/>
    <w:rsid w:val="00D95AF3"/>
    <w:rsid w:val="00D963EE"/>
    <w:rsid w:val="00DA0238"/>
    <w:rsid w:val="00DA126D"/>
    <w:rsid w:val="00DA294D"/>
    <w:rsid w:val="00DA34D2"/>
    <w:rsid w:val="00DA4444"/>
    <w:rsid w:val="00DA5B57"/>
    <w:rsid w:val="00DA5BA4"/>
    <w:rsid w:val="00DA6069"/>
    <w:rsid w:val="00DA6671"/>
    <w:rsid w:val="00DA69A1"/>
    <w:rsid w:val="00DA7973"/>
    <w:rsid w:val="00DB03BE"/>
    <w:rsid w:val="00DB10DA"/>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9D4"/>
    <w:rsid w:val="00DC4BCD"/>
    <w:rsid w:val="00DC5E22"/>
    <w:rsid w:val="00DC5EC9"/>
    <w:rsid w:val="00DC5FFA"/>
    <w:rsid w:val="00DC62C8"/>
    <w:rsid w:val="00DC6A6A"/>
    <w:rsid w:val="00DC6D61"/>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3CD1"/>
    <w:rsid w:val="00DD4314"/>
    <w:rsid w:val="00DD5CBE"/>
    <w:rsid w:val="00DD648B"/>
    <w:rsid w:val="00DD6E41"/>
    <w:rsid w:val="00DD6EA6"/>
    <w:rsid w:val="00DD7DBA"/>
    <w:rsid w:val="00DE04BF"/>
    <w:rsid w:val="00DE0928"/>
    <w:rsid w:val="00DE24F1"/>
    <w:rsid w:val="00DE324C"/>
    <w:rsid w:val="00DE4046"/>
    <w:rsid w:val="00DE4BF4"/>
    <w:rsid w:val="00DE54C9"/>
    <w:rsid w:val="00DE5684"/>
    <w:rsid w:val="00DE6077"/>
    <w:rsid w:val="00DE6916"/>
    <w:rsid w:val="00DE6C4D"/>
    <w:rsid w:val="00DE7064"/>
    <w:rsid w:val="00DE7CD4"/>
    <w:rsid w:val="00DF0363"/>
    <w:rsid w:val="00DF076C"/>
    <w:rsid w:val="00DF12F7"/>
    <w:rsid w:val="00DF2331"/>
    <w:rsid w:val="00DF2997"/>
    <w:rsid w:val="00DF2F50"/>
    <w:rsid w:val="00DF389A"/>
    <w:rsid w:val="00DF3CD1"/>
    <w:rsid w:val="00DF5AF7"/>
    <w:rsid w:val="00DF6731"/>
    <w:rsid w:val="00DF6A65"/>
    <w:rsid w:val="00DF6DDC"/>
    <w:rsid w:val="00DF6F24"/>
    <w:rsid w:val="00DF7887"/>
    <w:rsid w:val="00DF7C37"/>
    <w:rsid w:val="00E007E3"/>
    <w:rsid w:val="00E011F9"/>
    <w:rsid w:val="00E015CC"/>
    <w:rsid w:val="00E01816"/>
    <w:rsid w:val="00E01B3B"/>
    <w:rsid w:val="00E01C56"/>
    <w:rsid w:val="00E01FFD"/>
    <w:rsid w:val="00E02078"/>
    <w:rsid w:val="00E02978"/>
    <w:rsid w:val="00E02A94"/>
    <w:rsid w:val="00E05795"/>
    <w:rsid w:val="00E05E3C"/>
    <w:rsid w:val="00E061CF"/>
    <w:rsid w:val="00E06B0F"/>
    <w:rsid w:val="00E06CD6"/>
    <w:rsid w:val="00E07CBF"/>
    <w:rsid w:val="00E07CCD"/>
    <w:rsid w:val="00E107BF"/>
    <w:rsid w:val="00E10B60"/>
    <w:rsid w:val="00E10BC4"/>
    <w:rsid w:val="00E11444"/>
    <w:rsid w:val="00E11835"/>
    <w:rsid w:val="00E11F8F"/>
    <w:rsid w:val="00E12070"/>
    <w:rsid w:val="00E125ED"/>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660"/>
    <w:rsid w:val="00E50D86"/>
    <w:rsid w:val="00E51930"/>
    <w:rsid w:val="00E541A1"/>
    <w:rsid w:val="00E5422C"/>
    <w:rsid w:val="00E54417"/>
    <w:rsid w:val="00E54543"/>
    <w:rsid w:val="00E5538A"/>
    <w:rsid w:val="00E55580"/>
    <w:rsid w:val="00E55726"/>
    <w:rsid w:val="00E55751"/>
    <w:rsid w:val="00E56269"/>
    <w:rsid w:val="00E569A8"/>
    <w:rsid w:val="00E6001F"/>
    <w:rsid w:val="00E60BDC"/>
    <w:rsid w:val="00E60F53"/>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2F"/>
    <w:rsid w:val="00E7086F"/>
    <w:rsid w:val="00E73690"/>
    <w:rsid w:val="00E7398E"/>
    <w:rsid w:val="00E73FD3"/>
    <w:rsid w:val="00E741F7"/>
    <w:rsid w:val="00E75583"/>
    <w:rsid w:val="00E75E0E"/>
    <w:rsid w:val="00E76D71"/>
    <w:rsid w:val="00E776C1"/>
    <w:rsid w:val="00E801DE"/>
    <w:rsid w:val="00E806EB"/>
    <w:rsid w:val="00E81C0C"/>
    <w:rsid w:val="00E81D8D"/>
    <w:rsid w:val="00E81E70"/>
    <w:rsid w:val="00E82B94"/>
    <w:rsid w:val="00E83558"/>
    <w:rsid w:val="00E8361C"/>
    <w:rsid w:val="00E840D2"/>
    <w:rsid w:val="00E84D9B"/>
    <w:rsid w:val="00E854E1"/>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4C4A"/>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795"/>
    <w:rsid w:val="00EA71CC"/>
    <w:rsid w:val="00EA799E"/>
    <w:rsid w:val="00EB045B"/>
    <w:rsid w:val="00EB1A18"/>
    <w:rsid w:val="00EB1C98"/>
    <w:rsid w:val="00EB1F7B"/>
    <w:rsid w:val="00EB4167"/>
    <w:rsid w:val="00EB4868"/>
    <w:rsid w:val="00EB5831"/>
    <w:rsid w:val="00EB6055"/>
    <w:rsid w:val="00EB6302"/>
    <w:rsid w:val="00EC045D"/>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6EB8"/>
    <w:rsid w:val="00EC7522"/>
    <w:rsid w:val="00EC7BC3"/>
    <w:rsid w:val="00EC7E90"/>
    <w:rsid w:val="00ED0881"/>
    <w:rsid w:val="00ED1AD3"/>
    <w:rsid w:val="00ED2AC7"/>
    <w:rsid w:val="00ED2C38"/>
    <w:rsid w:val="00ED2E97"/>
    <w:rsid w:val="00ED336C"/>
    <w:rsid w:val="00ED3378"/>
    <w:rsid w:val="00ED3479"/>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48A2"/>
    <w:rsid w:val="00EF513C"/>
    <w:rsid w:val="00EF51BD"/>
    <w:rsid w:val="00EF5374"/>
    <w:rsid w:val="00EF5384"/>
    <w:rsid w:val="00EF557D"/>
    <w:rsid w:val="00EF5A7E"/>
    <w:rsid w:val="00EF5B96"/>
    <w:rsid w:val="00EF5C85"/>
    <w:rsid w:val="00EF6073"/>
    <w:rsid w:val="00EF698B"/>
    <w:rsid w:val="00EF7055"/>
    <w:rsid w:val="00EF7BF5"/>
    <w:rsid w:val="00F007CF"/>
    <w:rsid w:val="00F008DE"/>
    <w:rsid w:val="00F00E49"/>
    <w:rsid w:val="00F01AC0"/>
    <w:rsid w:val="00F02150"/>
    <w:rsid w:val="00F02531"/>
    <w:rsid w:val="00F02561"/>
    <w:rsid w:val="00F02ACB"/>
    <w:rsid w:val="00F02BFD"/>
    <w:rsid w:val="00F02F66"/>
    <w:rsid w:val="00F047F3"/>
    <w:rsid w:val="00F04DFC"/>
    <w:rsid w:val="00F055AF"/>
    <w:rsid w:val="00F05800"/>
    <w:rsid w:val="00F0669D"/>
    <w:rsid w:val="00F101A3"/>
    <w:rsid w:val="00F10BF4"/>
    <w:rsid w:val="00F116A8"/>
    <w:rsid w:val="00F11B98"/>
    <w:rsid w:val="00F11EB9"/>
    <w:rsid w:val="00F1362C"/>
    <w:rsid w:val="00F13E0A"/>
    <w:rsid w:val="00F148AA"/>
    <w:rsid w:val="00F1511B"/>
    <w:rsid w:val="00F156AC"/>
    <w:rsid w:val="00F166A3"/>
    <w:rsid w:val="00F16EFF"/>
    <w:rsid w:val="00F1748D"/>
    <w:rsid w:val="00F17AC7"/>
    <w:rsid w:val="00F21DB9"/>
    <w:rsid w:val="00F22578"/>
    <w:rsid w:val="00F22F2E"/>
    <w:rsid w:val="00F23300"/>
    <w:rsid w:val="00F2439C"/>
    <w:rsid w:val="00F24F5C"/>
    <w:rsid w:val="00F25460"/>
    <w:rsid w:val="00F25BD7"/>
    <w:rsid w:val="00F25FF9"/>
    <w:rsid w:val="00F26DE9"/>
    <w:rsid w:val="00F27711"/>
    <w:rsid w:val="00F27CCE"/>
    <w:rsid w:val="00F30857"/>
    <w:rsid w:val="00F3087D"/>
    <w:rsid w:val="00F316C4"/>
    <w:rsid w:val="00F31ADE"/>
    <w:rsid w:val="00F32048"/>
    <w:rsid w:val="00F32746"/>
    <w:rsid w:val="00F32AB7"/>
    <w:rsid w:val="00F32EE1"/>
    <w:rsid w:val="00F33C77"/>
    <w:rsid w:val="00F34468"/>
    <w:rsid w:val="00F36857"/>
    <w:rsid w:val="00F374B3"/>
    <w:rsid w:val="00F37511"/>
    <w:rsid w:val="00F400EA"/>
    <w:rsid w:val="00F4078A"/>
    <w:rsid w:val="00F40B1C"/>
    <w:rsid w:val="00F414F1"/>
    <w:rsid w:val="00F4167A"/>
    <w:rsid w:val="00F4223C"/>
    <w:rsid w:val="00F44515"/>
    <w:rsid w:val="00F4491C"/>
    <w:rsid w:val="00F44BA9"/>
    <w:rsid w:val="00F44EEB"/>
    <w:rsid w:val="00F45CA4"/>
    <w:rsid w:val="00F46283"/>
    <w:rsid w:val="00F467F7"/>
    <w:rsid w:val="00F47846"/>
    <w:rsid w:val="00F47AA5"/>
    <w:rsid w:val="00F47AB2"/>
    <w:rsid w:val="00F47ADC"/>
    <w:rsid w:val="00F5089A"/>
    <w:rsid w:val="00F508B8"/>
    <w:rsid w:val="00F50C2A"/>
    <w:rsid w:val="00F50CFD"/>
    <w:rsid w:val="00F50F00"/>
    <w:rsid w:val="00F516A7"/>
    <w:rsid w:val="00F51C69"/>
    <w:rsid w:val="00F51EC6"/>
    <w:rsid w:val="00F522CC"/>
    <w:rsid w:val="00F52453"/>
    <w:rsid w:val="00F524DC"/>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8AB"/>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467B"/>
    <w:rsid w:val="00F8539B"/>
    <w:rsid w:val="00F86041"/>
    <w:rsid w:val="00F867C0"/>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758"/>
    <w:rsid w:val="00FA0FA4"/>
    <w:rsid w:val="00FA1CFD"/>
    <w:rsid w:val="00FA2C22"/>
    <w:rsid w:val="00FA2ED8"/>
    <w:rsid w:val="00FA30A7"/>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6E2"/>
    <w:rsid w:val="00FC5704"/>
    <w:rsid w:val="00FC6C2A"/>
    <w:rsid w:val="00FC6F26"/>
    <w:rsid w:val="00FC6FD3"/>
    <w:rsid w:val="00FC7B36"/>
    <w:rsid w:val="00FD1AB1"/>
    <w:rsid w:val="00FD280E"/>
    <w:rsid w:val="00FD3888"/>
    <w:rsid w:val="00FD41BA"/>
    <w:rsid w:val="00FD4B01"/>
    <w:rsid w:val="00FD4E8F"/>
    <w:rsid w:val="00FD518B"/>
    <w:rsid w:val="00FD51A7"/>
    <w:rsid w:val="00FD599C"/>
    <w:rsid w:val="00FD5BD8"/>
    <w:rsid w:val="00FD65F5"/>
    <w:rsid w:val="00FD76E9"/>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75A"/>
    <w:rsid w:val="00FE4943"/>
    <w:rsid w:val="00FE54EA"/>
    <w:rsid w:val="00FE56AC"/>
    <w:rsid w:val="00FE6EF5"/>
    <w:rsid w:val="00FE7254"/>
    <w:rsid w:val="00FF0301"/>
    <w:rsid w:val="00FF08D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4555348"/>
    <w:rsid w:val="05F58B4C"/>
    <w:rsid w:val="06B50BBD"/>
    <w:rsid w:val="0C1A3013"/>
    <w:rsid w:val="0DB7E32B"/>
    <w:rsid w:val="10A858E9"/>
    <w:rsid w:val="160B7CCF"/>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6942B293"/>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7189871F-0B22-4016-BC8C-48B00D58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70391560">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9760">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65085836">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37777666">
      <w:bodyDiv w:val="1"/>
      <w:marLeft w:val="0"/>
      <w:marRight w:val="0"/>
      <w:marTop w:val="0"/>
      <w:marBottom w:val="0"/>
      <w:divBdr>
        <w:top w:val="none" w:sz="0" w:space="0" w:color="auto"/>
        <w:left w:val="none" w:sz="0" w:space="0" w:color="auto"/>
        <w:bottom w:val="none" w:sz="0" w:space="0" w:color="auto"/>
        <w:right w:val="none" w:sz="0" w:space="0" w:color="auto"/>
      </w:divBdr>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15450450">
      <w:bodyDiv w:val="1"/>
      <w:marLeft w:val="0"/>
      <w:marRight w:val="0"/>
      <w:marTop w:val="0"/>
      <w:marBottom w:val="0"/>
      <w:divBdr>
        <w:top w:val="none" w:sz="0" w:space="0" w:color="auto"/>
        <w:left w:val="none" w:sz="0" w:space="0" w:color="auto"/>
        <w:bottom w:val="none" w:sz="0" w:space="0" w:color="auto"/>
        <w:right w:val="none" w:sz="0" w:space="0" w:color="auto"/>
      </w:divBdr>
      <w:divsChild>
        <w:div w:id="335807637">
          <w:marLeft w:val="0"/>
          <w:marRight w:val="0"/>
          <w:marTop w:val="0"/>
          <w:marBottom w:val="0"/>
          <w:divBdr>
            <w:top w:val="none" w:sz="0" w:space="0" w:color="auto"/>
            <w:left w:val="none" w:sz="0" w:space="0" w:color="auto"/>
            <w:bottom w:val="none" w:sz="0" w:space="0" w:color="auto"/>
            <w:right w:val="none" w:sz="0" w:space="0" w:color="auto"/>
          </w:divBdr>
        </w:div>
        <w:div w:id="1607811693">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RBI5PAMIO524-1616901215-51120</_dlc_DocId>
    <HideFromDelve xmlns="71c5aaf6-e6ce-465b-b873-5148d2a4c105">false</HideFromDelve>
    <_dlc_DocIdUrl xmlns="71c5aaf6-e6ce-465b-b873-5148d2a4c105">
      <Url>https://nokia.sharepoint.com/sites/gxp/_layouts/15/DocIdRedir.aspx?ID=RBI5PAMIO524-1616901215-51120</Url>
      <Description>RBI5PAMIO524-1616901215-51120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9</Pages>
  <Words>3430</Words>
  <Characters>19553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2025-08-14T20:29:00Z</dcterms:created>
  <dcterms:modified xsi:type="dcterms:W3CDTF">2025-08-14T20:29:00Z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ff214d64-ea93-46c2-8d45-17d3d9f7ea0c</vt:lpwstr>
  </property>
  <property fmtid="{D5CDD505-2E9C-101B-9397-08002B2CF9AE}" pid="11" name="MediaServiceImageTags">
    <vt:lpwstr/>
  </property>
</Properties>
</file>